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Repay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Alex Vezendan</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3889 Maple Avenue, Suite 220,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Dallas, TX, 75219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913-908-4943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Veradace Capital Management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7,190,590.00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7,190,590.00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7,190,590.00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 IA</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Veradace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7,190,590.00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7,190,590.00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7,190,590.00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Alexander Vezendan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69,500.00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7,190,590.00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69,500.00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7,190,590.00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7,260,090.00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8.6 %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John Conlin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7,190,590.00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7,190,590.00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7,190,590.00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Repay Holdings Corp</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right="1600" w:firstLine="932"/>
        <w:spacing w:after="0" w:line="283" w:lineRule="auto"/>
        <w:rPr>
          <w:sz w:val="20"/>
          <w:szCs w:val="20"/>
          <w:color w:val="auto"/>
        </w:rPr>
      </w:pPr>
      <w:r>
        <w:rPr>
          <w:rFonts w:ascii="Times New Roman" w:cs="Times New Roman" w:eastAsia="Times New Roman" w:hAnsi="Times New Roman"/>
          <w:sz w:val="22"/>
          <w:szCs w:val="22"/>
          <w:color w:val="auto"/>
        </w:rPr>
        <w:t>3060 PEACHTREE ROAD NW, 3060 PEACHTREE ROAD NW, ATLANTA, GEORGIA , 30305. Item 2. Identity and Background</w:t>
      </w:r>
    </w:p>
    <w:p>
      <w:pPr>
        <w:ind w:left="940"/>
        <w:spacing w:after="0" w:line="244" w:lineRule="auto"/>
        <w:rPr>
          <w:sz w:val="20"/>
          <w:szCs w:val="20"/>
          <w:color w:val="auto"/>
        </w:rPr>
      </w:pPr>
      <w:r>
        <w:rPr>
          <w:rFonts w:ascii="Times New Roman" w:cs="Times New Roman" w:eastAsia="Times New Roman" w:hAnsi="Times New Roman"/>
          <w:sz w:val="21"/>
          <w:szCs w:val="21"/>
          <w:color w:val="auto"/>
        </w:rPr>
        <w:t>This statement is being jointly filed by and on behalf of each of Veradace Capital Management LLC, a Delaware limited liability company ("Veradace"), Veradace Partners L.P., a Delaware limited partnership (the "Fund"), Alexander Vezendan, and John Conlin. The Fund is the record and direct beneficial owner of the securities covered by this statement. As the investment adviser to the Fund, Veradace may be deemed to beneficially own the securities covered by this statement. Messrs. Vezendan and Conlin are the Principals of and may be deemed to beneficially own securities owned by, Veradace. The total number of shares owned by the fund consists of 7,190,590 shares of common stock and options to purchase 110,400 shares of common stock. Each reporting person declares that neither the filing</w:t>
      </w:r>
    </w:p>
    <w:p>
      <w:pPr>
        <w:spacing w:after="0" w:line="6" w:lineRule="exact"/>
        <w:rPr>
          <w:sz w:val="20"/>
          <w:szCs w:val="20"/>
          <w:color w:val="auto"/>
        </w:rPr>
      </w:pPr>
    </w:p>
    <w:p>
      <w:pPr>
        <w:ind w:left="940" w:right="40" w:hanging="932"/>
        <w:spacing w:after="0" w:line="209" w:lineRule="auto"/>
        <w:tabs>
          <w:tab w:leader="none" w:pos="94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of this statement nor anything herein shall be construed as an admission that such person is, for the purposes of Section 13(d) or 13(g) of the Act or any other purpose, the beneficial owner of any securities covered by this statement. 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 13(d) or 13(g) of the Act or any other purpose, (i) 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or (ii) a member of any group with respect to the issuer or any securities of the issuer</w:t>
      </w:r>
    </w:p>
    <w:p>
      <w:pPr>
        <w:spacing w:after="0" w:line="24" w:lineRule="exact"/>
        <w:rPr>
          <w:rFonts w:ascii="Times New Roman" w:cs="Times New Roman" w:eastAsia="Times New Roman" w:hAnsi="Times New Roman"/>
          <w:sz w:val="43"/>
          <w:szCs w:val="43"/>
          <w:color w:val="auto"/>
          <w:vertAlign w:val="subscript"/>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3889 Maple Avenue, Suite 220, Dallas, TX 75219</w:t>
      </w:r>
    </w:p>
    <w:p>
      <w:pPr>
        <w:spacing w:after="0" w:line="44" w:lineRule="exact"/>
        <w:rPr>
          <w:rFonts w:ascii="Times New Roman" w:cs="Times New Roman" w:eastAsia="Times New Roman" w:hAnsi="Times New Roman"/>
          <w:sz w:val="22"/>
          <w:szCs w:val="22"/>
          <w:color w:val="auto"/>
        </w:rPr>
      </w:pPr>
    </w:p>
    <w:p>
      <w:pPr>
        <w:ind w:left="940" w:right="300" w:hanging="932"/>
        <w:spacing w:after="0" w:line="185" w:lineRule="auto"/>
        <w:tabs>
          <w:tab w:leader="none" w:pos="94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Each of the Reporting Persons is principally engaged in the business of acquiring, holding, voting and disposing of various public securities investments</w:t>
      </w:r>
    </w:p>
    <w:p>
      <w:pPr>
        <w:spacing w:after="0" w:line="17" w:lineRule="exact"/>
        <w:rPr>
          <w:rFonts w:ascii="Times New Roman" w:cs="Times New Roman" w:eastAsia="Times New Roman" w:hAnsi="Times New Roman"/>
          <w:sz w:val="39"/>
          <w:szCs w:val="39"/>
          <w:color w:val="auto"/>
          <w:vertAlign w:val="subscript"/>
        </w:rPr>
      </w:pPr>
    </w:p>
    <w:p>
      <w:pPr>
        <w:ind w:left="940" w:right="480" w:hanging="932"/>
        <w:spacing w:after="0" w:line="185" w:lineRule="auto"/>
        <w:tabs>
          <w:tab w:leader="none" w:pos="94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40" w:right="260" w:hanging="932"/>
        <w:spacing w:after="0" w:line="184" w:lineRule="auto"/>
        <w:tabs>
          <w:tab w:leader="none" w:pos="94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1160"/>
          </w:cols>
          <w:pgMar w:left="360" w:top="110" w:right="379" w:bottom="0" w:gutter="0" w:footer="0" w:header="0"/>
        </w:sectPr>
      </w:pP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ind w:right="120"/>
        <w:spacing w:after="0" w:line="256" w:lineRule="auto"/>
        <w:rPr>
          <w:sz w:val="20"/>
          <w:szCs w:val="20"/>
          <w:color w:val="auto"/>
        </w:rPr>
      </w:pPr>
      <w:r>
        <w:rPr>
          <w:rFonts w:ascii="Times New Roman" w:cs="Times New Roman" w:eastAsia="Times New Roman" w:hAnsi="Times New Roman"/>
          <w:sz w:val="22"/>
          <w:szCs w:val="22"/>
          <w:color w:val="auto"/>
        </w:rPr>
        <w:t>Veradace and the Fund are each organized under the laws of the State of Delaware. Messrs. Vezendan and Conlin are both citizens of the United States.</w:t>
      </w:r>
    </w:p>
    <w:p>
      <w:pPr>
        <w:spacing w:after="0"/>
        <w:rPr>
          <w:sz w:val="20"/>
          <w:szCs w:val="20"/>
          <w:color w:val="auto"/>
        </w:rPr>
      </w:pPr>
      <w:r>
        <w:rPr>
          <w:rFonts w:ascii="Times New Roman" w:cs="Times New Roman" w:eastAsia="Times New Roman" w:hAnsi="Times New Roman"/>
          <w:sz w:val="22"/>
          <w:szCs w:val="22"/>
          <w:color w:val="auto"/>
        </w:rPr>
        <w:t>Source and Amount of Funds or Other Consideration</w:t>
      </w:r>
    </w:p>
    <w:p>
      <w:pPr>
        <w:spacing w:after="0" w:line="4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Item 3 is hereby amended and restated as follows: As of April 27, 2026, the Fund, the record and beneficial owner of the securities covered by this statement, held voting and dispositive power over 7,190,590 shares of Class A common stock of the Issuer (Shares) and options to acquire 110,400 shares (such shares and options collectively, the "Fund Securities"), representing a combined total of 8.5% of the Issuer's outstanding Class A Shares. Additionally, Alexander Vezendan, directly owns 69,500 Class A Shares ("Vezendan Securities"), representing 0.1% of the Issuer?s outstanding Class A Shares. All calculations of beneficial ownership percentages in this statement are based on 85,880,982 Class A Shares outstanding as of March 4, 2026 as disclosed by the Issuer in its Form 10-K filed with the SEC on March 9, 2026. Relevant transactions leading up to this date, as well as the respective price per share of each transaction, are set forth on Schedule A to this statement. Each of these transactions was executed through the open market. The fund for the purchase of the Fund Securities came from the working capital of the Fund and the funds for the purchase of the Vezendan Securities came from Mr. Vezendan's personal savings. The aggregate purchase price of the Fund Securities is $31,098,014. The aggregate purchase price of the Vezendan Securities is $246,500. No borrowed funds were used to purchase the Securities or the Vezendan Securities, other than under margin accounts with a brokerage firm in the ordinary course of business. Positions in Issuer securities may be held in margin accounts and may be pledged as collateral security for the repayment of debit balances in such accounts. Such margin accounts may from time to time have debit balances. In addition, since other securities may be held in such margin accounts, it may not be possible to determine the amounts, if any, of margin used to purchase the Securities.</w:t>
      </w:r>
    </w:p>
    <w:p>
      <w:pPr>
        <w:spacing w:after="0" w:line="11" w:lineRule="exact"/>
        <w:rPr>
          <w:sz w:val="20"/>
          <w:szCs w:val="20"/>
          <w:color w:val="auto"/>
        </w:rPr>
      </w:pPr>
    </w:p>
    <w:p>
      <w:pPr>
        <w:sectPr>
          <w:pgSz w:w="11900" w:h="16838" w:orient="portrait"/>
          <w:cols w:equalWidth="0" w:num="2">
            <w:col w:w="620" w:space="320"/>
            <w:col w:w="10220"/>
          </w:cols>
          <w:pgMar w:left="360" w:top="110" w:right="379" w:bottom="0" w:gutter="0" w:footer="0" w:header="0"/>
          <w:type w:val="continuous"/>
        </w:sect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120"/>
        <w:spacing w:after="0" w:line="255" w:lineRule="auto"/>
        <w:rPr>
          <w:sz w:val="20"/>
          <w:szCs w:val="20"/>
          <w:color w:val="auto"/>
        </w:rPr>
      </w:pPr>
      <w:r>
        <w:rPr>
          <w:rFonts w:ascii="Times New Roman" w:cs="Times New Roman" w:eastAsia="Times New Roman" w:hAnsi="Times New Roman"/>
          <w:sz w:val="21"/>
          <w:szCs w:val="21"/>
          <w:color w:val="auto"/>
        </w:rPr>
        <w:t>Item 4 is hereby amended and supplemented by the addition of the following. On April 25, 2026, the Fund delivered the Issuer notice of its nomination of Alexander Vezendan and William Jacobs for election at the 2026 Annual Meeting of Stockholders. Mr. Vezendan is Chief Investment Officer at the General Partner of the Fund. Mr. Jacobs is Chief Executive Officer of Green Dot Corporation and a Former Independent Board Member at the Issuer. Veradace</w:t>
      </w:r>
    </w:p>
    <w:p>
      <w:pPr>
        <w:sectPr>
          <w:pgSz w:w="11900" w:h="16838" w:orient="portrait"/>
          <w:cols w:equalWidth="0" w:num="1">
            <w:col w:w="11160"/>
          </w:cols>
          <w:pgMar w:left="360" w:top="110" w:right="379" w:bottom="0" w:gutter="0" w:footer="0" w:header="0"/>
          <w:type w:val="continuous"/>
        </w:sectPr>
      </w:pPr>
    </w:p>
    <w:bookmarkStart w:id="5" w:name="page6"/>
    <w:bookmarkEnd w:id="5"/>
    <w:p>
      <w:pPr>
        <w:ind w:left="940" w:right="40"/>
        <w:spacing w:after="0" w:line="256" w:lineRule="auto"/>
        <w:rPr>
          <w:sz w:val="20"/>
          <w:szCs w:val="20"/>
          <w:color w:val="auto"/>
        </w:rPr>
      </w:pPr>
      <w:r>
        <w:rPr>
          <w:rFonts w:ascii="Times New Roman" w:cs="Times New Roman" w:eastAsia="Times New Roman" w:hAnsi="Times New Roman"/>
          <w:sz w:val="22"/>
          <w:szCs w:val="22"/>
          <w:color w:val="auto"/>
        </w:rPr>
        <w:t>believes the board has a fiduciary obligation to waive the deadline for nominations at the 2026 Annual Meeting given the material change in circumstances facing the Issuer's stockholders.</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280" w:hanging="932"/>
        <w:spacing w:after="0" w:line="185" w:lineRule="auto"/>
        <w:tabs>
          <w:tab w:leader="none" w:pos="94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aggregate number and percentage of the class of securities identified pursuant to Item 1 beneficially owned by each Reporting Person as of the time of filing, is stated in Items 11 and 13 on the cover page(s) hereto.</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Reporting Persons may be deemed to share voting and dispositive power over 7,190,590 Shares and options to</w:t>
      </w:r>
    </w:p>
    <w:p>
      <w:pPr>
        <w:spacing w:after="0" w:line="14" w:lineRule="exact"/>
        <w:rPr>
          <w:rFonts w:ascii="Times New Roman" w:cs="Times New Roman" w:eastAsia="Times New Roman" w:hAnsi="Times New Roman"/>
          <w:sz w:val="39"/>
          <w:szCs w:val="39"/>
          <w:color w:val="auto"/>
          <w:vertAlign w:val="subscript"/>
        </w:rPr>
      </w:pPr>
    </w:p>
    <w:p>
      <w:pPr>
        <w:ind w:left="940" w:right="560" w:hanging="932"/>
        <w:spacing w:after="0" w:line="237"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an additional 110,40 Shares, representing beneficial ownership of a combined total of 8.6 percent of the outstanding Shares.</w:t>
      </w:r>
    </w:p>
    <w:p>
      <w:pPr>
        <w:spacing w:after="0" w:line="16" w:lineRule="exact"/>
        <w:rPr>
          <w:rFonts w:ascii="Times New Roman" w:cs="Times New Roman" w:eastAsia="Times New Roman" w:hAnsi="Times New Roman"/>
          <w:sz w:val="22"/>
          <w:szCs w:val="22"/>
          <w:color w:val="auto"/>
        </w:rPr>
      </w:pPr>
    </w:p>
    <w:p>
      <w:pPr>
        <w:ind w:left="940" w:right="160" w:hanging="932"/>
        <w:spacing w:after="0" w:line="185" w:lineRule="auto"/>
        <w:tabs>
          <w:tab w:leader="none" w:pos="94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transactions effected by the Reporting Persons in the Shares during the past 60 days are set forth on Schedule A to this statement. Each of these transactions was executed through the open market.</w:t>
      </w:r>
    </w:p>
    <w:p>
      <w:pPr>
        <w:spacing w:after="0" w:line="17" w:lineRule="exact"/>
        <w:rPr>
          <w:rFonts w:ascii="Times New Roman" w:cs="Times New Roman" w:eastAsia="Times New Roman" w:hAnsi="Times New Roman"/>
          <w:sz w:val="39"/>
          <w:szCs w:val="39"/>
          <w:color w:val="auto"/>
          <w:vertAlign w:val="subscript"/>
        </w:rPr>
      </w:pPr>
    </w:p>
    <w:p>
      <w:pPr>
        <w:ind w:left="940" w:right="60" w:hanging="932"/>
        <w:spacing w:after="0" w:line="185" w:lineRule="auto"/>
        <w:tabs>
          <w:tab w:leader="none" w:pos="94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Persons is known to have the right to receive, or the power to direct the receipt of dividends from, or proceeds from the sale of, the Securities.</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jc w:val="both"/>
        <w:ind w:left="940"/>
        <w:spacing w:after="0" w:line="235" w:lineRule="auto"/>
        <w:rPr>
          <w:sz w:val="20"/>
          <w:szCs w:val="20"/>
          <w:color w:val="auto"/>
        </w:rPr>
      </w:pPr>
      <w:r>
        <w:rPr>
          <w:rFonts w:ascii="Times New Roman" w:cs="Times New Roman" w:eastAsia="Times New Roman" w:hAnsi="Times New Roman"/>
          <w:sz w:val="22"/>
          <w:szCs w:val="22"/>
          <w:color w:val="auto"/>
        </w:rPr>
        <w:t>The information set forth in Item 4 above is incorporated by reference in its entirety in this Item 6. The Fund, through open market transactions between September 25, 2025 and November 4, 2025, purchased options to acquire 110,400 Shares and sold put options covering the same number of Shares. All of the Options are American-style and expire on June 30, 2026. The exercise prices for the Options are as set forth below: Option Exercise Price 110,400 Shares (Call) $7.50 per Share The Reporting Persons do not have any contract, arrangement, understanding or relationship with any person with respect to securities of the Issuer that is not described herein. If any of the options trades were during the prior 60 days could you please provide those as well?</w:t>
      </w:r>
    </w:p>
    <w:p>
      <w:pPr>
        <w:spacing w:after="0" w:line="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Attached</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Veradace Capital Management LLC</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Alexander Vezendan</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Principal</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p>
      <w:pPr>
        <w:spacing w:after="0" w:line="15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Veradace Partners LP</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Alexander Vezendan</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Principal</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p>
      <w:pPr>
        <w:spacing w:after="0" w:line="15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Alexander Vezendan</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Alexander Vezendan</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Principal</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p>
      <w:pPr>
        <w:spacing w:after="0" w:line="15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John Conlin</w:t>
      </w:r>
    </w:p>
    <w:p>
      <w:pPr>
        <w:spacing w:after="0" w:line="152"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Conlin</w:t>
      </w:r>
    </w:p>
    <w:p>
      <w:pPr>
        <w:spacing w:after="0" w:line="4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Name/Title: Principal / Chief Compliance Officer</w:t>
      </w:r>
    </w:p>
    <w:p>
      <w:pPr>
        <w:spacing w:after="0" w:line="44"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2026-04-28T11:56:12Z</dcterms:created>
  <dcterms:modified xsi:type="dcterms:W3CDTF">2026-04-28T11:56:12Z</dcterms:modified>
</cp:coreProperties>
</file>