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30"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REPAY HOLDINGS CORPORATION</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98-1496050</w:t>
      </w:r>
    </w:p>
    <w:p>
      <w:pPr>
        <w:spacing w:after="0" w:line="20" w:lineRule="exact"/>
        <w:rPr>
          <w:sz w:val="24"/>
          <w:szCs w:val="24"/>
          <w:color w:val="auto"/>
        </w:rPr>
      </w:pPr>
    </w:p>
    <w:p>
      <w:pPr>
        <w:sectPr>
          <w:pgSz w:w="11900" w:h="16838" w:orient="portrait"/>
          <w:cols w:equalWidth="0" w:num="2">
            <w:col w:w="7100" w:space="720"/>
            <w:col w:w="3020"/>
          </w:cols>
          <w:pgMar w:left="500" w:top="224" w:right="5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7"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3060 Peachtree Road NW</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1100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504-7472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840"/>
          </w:cols>
          <w:pgMar w:left="500" w:top="224" w:right="559" w:bottom="144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Employment Inducement Award Agreement (Morrow)</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 Employment Inducement Award Agreement (TSR) (Morrow)</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 Employment Inducement Award Agreement (Adjusted EBITDA) (Morrow)</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Tyler B. Dempsey,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3060 Peachtree Road NW</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1100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GA 30305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504-7472</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David W. Ghegan,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Heather M. Ducat,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Troutman Pepper Locke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600 Peachtree Street, NE</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3000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Georgia 30308</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885-3000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7"/>
          <w:szCs w:val="17"/>
          <w:color w:val="auto"/>
        </w:rPr>
        <w:t>Repay Holdings Corp. (the “Registrant” or the “Company”) is filing this Registration Statement on Form S-8 (the “Registration Statement”) with the Securities and Exchange Commission (the “SEC”) under the Securities Act of 1933, as amended (the “Securities Act”), to register 781,248 shares (the “Shares”) of the Company’s Class A common stock, $0.0001 par value per share, consisting of (i) 260,416 Shares which were issued under a restricted stock award (the “RSAs”) granted to Matthew E. Morrow pursuant and subject to a Restricted Stock Employment Inducement Award Agreement, dated May 12, 2026 (the “RSA Plan”), (ii) 260,416 Shares that may be issued upon the vesting and settlement of 130,208 performance-based restricted stock units (the “TSR PSUs”) granted to Mr. Morrow pursuant and subject to a Performance-Based Restricted Stock Units Employment Inducement Award Agreement (TSR), dated May 12, 2026 (the “TSR PSU Plan”), and (iii) 260,416 Shares that may be issued upon the vesting and settlement of 130,208 performance-based restricted stock units (together with the RSAs and TSR PSUs, the “Inducement Awards”) granted to</w:t>
      </w:r>
    </w:p>
    <w:p>
      <w:pPr>
        <w:spacing w:after="0" w:line="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Mr. Morrow pursuant and subject to a Performance-Based Restricted Stock Units Employment Inducement Award Agreement (Adjusted EBITDA), dated May 12, 2026 (together with the RSA Plan and the TSR PSU Plan, the “Plans”), as a material inducement to Mr. Morrow entering into employment with the Company in reliance on the employment inducement exemption provided under the Nasdaq Listing Rule 5635(c)(4). The Inducement Awards are subject to vesting and forfeiture restrictions in accordance with the terms of the Plans. The Inducement Awards were approved by the compensation committee of the board of directors of the Company and were granted outside of the Company’s equity incentive plans.</w:t>
      </w:r>
    </w:p>
    <w:p>
      <w:pPr>
        <w:sectPr>
          <w:pgSz w:w="11900" w:h="16838" w:orient="portrait"/>
          <w:cols w:equalWidth="0" w:num="1">
            <w:col w:w="10820"/>
          </w:cols>
          <w:pgMar w:left="500" w:top="264"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firstLine="981"/>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the Instructions to the Registration Statement on Form S-8 will be sent or given to the participant in the Plans covered by this Registration Statement, as applicable and as required by Rule 428(b)(1) promulgated under the Securities Act. Such documents need not be filed with the SEC either as part of this Registration Statement or as prospectuses or prospectus supplements pursuant to Rule 424.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4"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right="60" w:firstLine="981"/>
        <w:spacing w:after="0" w:line="277" w:lineRule="auto"/>
        <w:rPr>
          <w:sz w:val="20"/>
          <w:szCs w:val="20"/>
          <w:color w:val="auto"/>
        </w:rPr>
      </w:pPr>
      <w:r>
        <w:rPr>
          <w:rFonts w:ascii="Times New Roman" w:cs="Times New Roman" w:eastAsia="Times New Roman" w:hAnsi="Times New Roman"/>
          <w:sz w:val="18"/>
          <w:szCs w:val="18"/>
          <w:color w:val="auto"/>
        </w:rPr>
        <w:t>The following documents filed with the SEC by the Registrant pursuant to the Securities Act and the Securities Exchange Act of 1934, as amended (the “Exchange Act”), are incorporated herein by reference, to the extent that such documents are considered filed with the SEC:</w:t>
      </w:r>
    </w:p>
    <w:p>
      <w:pPr>
        <w:spacing w:after="0" w:line="70" w:lineRule="exact"/>
        <w:rPr>
          <w:sz w:val="20"/>
          <w:szCs w:val="20"/>
          <w:color w:val="auto"/>
        </w:rPr>
      </w:pPr>
    </w:p>
    <w:p>
      <w:pPr>
        <w:ind w:left="1400" w:right="40" w:hanging="324"/>
        <w:spacing w:after="0" w:line="308" w:lineRule="auto"/>
        <w:tabs>
          <w:tab w:leader="none" w:pos="14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Form 10-K for the year ended December 31, 2025, filed with the SEC on </w:t>
      </w:r>
      <w:hyperlink r:id="rId19">
        <w:r>
          <w:rPr>
            <w:rFonts w:ascii="Times New Roman" w:cs="Times New Roman" w:eastAsia="Times New Roman" w:hAnsi="Times New Roman"/>
            <w:sz w:val="17"/>
            <w:szCs w:val="17"/>
            <w:u w:val="single" w:color="auto"/>
            <w:color w:val="0000EE"/>
          </w:rPr>
          <w:t>March 9, 2026</w:t>
        </w:r>
      </w:hyperlink>
      <w:r>
        <w:rPr>
          <w:rFonts w:ascii="Times New Roman" w:cs="Times New Roman" w:eastAsia="Times New Roman" w:hAnsi="Times New Roman"/>
          <w:sz w:val="17"/>
          <w:szCs w:val="17"/>
          <w:color w:val="auto"/>
        </w:rPr>
        <w:t xml:space="preserve">, as amended by Amendment No. 1 to the Annual Report on Form 10-K/A, filed with the SEC on </w:t>
      </w:r>
      <w:hyperlink r:id="rId20">
        <w:r>
          <w:rPr>
            <w:rFonts w:ascii="Times New Roman" w:cs="Times New Roman" w:eastAsia="Times New Roman" w:hAnsi="Times New Roman"/>
            <w:sz w:val="17"/>
            <w:szCs w:val="17"/>
            <w:u w:val="single" w:color="auto"/>
            <w:color w:val="0000EE"/>
          </w:rPr>
          <w:t>April 30,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001-38531).</w:t>
      </w:r>
    </w:p>
    <w:p>
      <w:pPr>
        <w:spacing w:after="0" w:line="45" w:lineRule="exact"/>
        <w:rPr>
          <w:rFonts w:ascii="Times New Roman" w:cs="Times New Roman" w:eastAsia="Times New Roman" w:hAnsi="Times New Roman"/>
          <w:sz w:val="17"/>
          <w:szCs w:val="17"/>
          <w:color w:val="auto"/>
        </w:rPr>
      </w:pPr>
    </w:p>
    <w:p>
      <w:pPr>
        <w:ind w:left="1400" w:right="220" w:hanging="324"/>
        <w:spacing w:after="0" w:line="277" w:lineRule="auto"/>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March 31, 2026, filed with the SEC on </w:t>
      </w:r>
      <w:hyperlink r:id="rId21">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auto"/>
        </w:rPr>
        <w:t xml:space="preserve"> (File No. 001-38531).</w:t>
      </w:r>
    </w:p>
    <w:p>
      <w:pPr>
        <w:spacing w:after="0" w:line="69" w:lineRule="exact"/>
        <w:rPr>
          <w:rFonts w:ascii="Times New Roman" w:cs="Times New Roman" w:eastAsia="Times New Roman" w:hAnsi="Times New Roman"/>
          <w:sz w:val="18"/>
          <w:szCs w:val="18"/>
          <w:color w:val="auto"/>
        </w:rPr>
      </w:pPr>
    </w:p>
    <w:p>
      <w:pPr>
        <w:ind w:left="1400" w:right="20" w:hanging="324"/>
        <w:spacing w:after="0" w:line="262" w:lineRule="auto"/>
        <w:tabs>
          <w:tab w:leader="none" w:pos="14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SEC on </w:t>
      </w:r>
      <w:hyperlink r:id="rId22">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February 25,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April 14,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 xml:space="preserve">June 12,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 xml:space="preserve">June 15, 2026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those portions furnished pursuant to Item 2.02 and 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7.01, if applicable) (File No. 001-38531).</w:t>
      </w:r>
    </w:p>
    <w:p>
      <w:pPr>
        <w:spacing w:after="0" w:line="83" w:lineRule="exact"/>
        <w:rPr>
          <w:rFonts w:ascii="Times New Roman" w:cs="Times New Roman" w:eastAsia="Times New Roman" w:hAnsi="Times New Roman"/>
          <w:sz w:val="18"/>
          <w:szCs w:val="18"/>
          <w:color w:val="0000EE"/>
        </w:rPr>
      </w:pPr>
    </w:p>
    <w:p>
      <w:pPr>
        <w:ind w:left="1400" w:right="20" w:hanging="324"/>
        <w:spacing w:after="0" w:line="277" w:lineRule="auto"/>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securities contained in our Registration Statement on Form 8-A (File No. 001-38531), filed with the SEC on </w:t>
      </w:r>
      <w:hyperlink r:id="rId29">
        <w:r>
          <w:rPr>
            <w:rFonts w:ascii="Times New Roman" w:cs="Times New Roman" w:eastAsia="Times New Roman" w:hAnsi="Times New Roman"/>
            <w:sz w:val="18"/>
            <w:szCs w:val="18"/>
            <w:u w:val="single" w:color="auto"/>
            <w:color w:val="0000EE"/>
          </w:rPr>
          <w:t>June 15, 2018</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63" w:lineRule="exact"/>
        <w:rPr>
          <w:rFonts w:ascii="Times New Roman" w:cs="Times New Roman" w:eastAsia="Times New Roman" w:hAnsi="Times New Roman"/>
          <w:sz w:val="18"/>
          <w:szCs w:val="18"/>
          <w:color w:val="0000EE"/>
        </w:rPr>
      </w:pPr>
    </w:p>
    <w:p>
      <w:pPr>
        <w:ind w:right="40" w:firstLine="981"/>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1934 Act, prior to the filing of a post-effective amendment which indicates that all securities offered have been sold or which deregisters all securities then remaining unsold, shall be deemed to be incorporated by reference herein and to be a part hereof from the date of filing of such documents, to the extent such documents are considered filed with the SEC.</w:t>
      </w:r>
    </w:p>
    <w:p>
      <w:pPr>
        <w:spacing w:after="0" w:line="182" w:lineRule="exact"/>
        <w:rPr>
          <w:rFonts w:ascii="Times New Roman" w:cs="Times New Roman" w:eastAsia="Times New Roman" w:hAnsi="Times New Roman"/>
          <w:sz w:val="18"/>
          <w:szCs w:val="18"/>
          <w:color w:val="0000EE"/>
        </w:rPr>
      </w:pPr>
    </w:p>
    <w:p>
      <w:pPr>
        <w:ind w:firstLine="981"/>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rFonts w:ascii="Times New Roman" w:cs="Times New Roman" w:eastAsia="Times New Roman" w:hAnsi="Times New Roman"/>
          <w:sz w:val="18"/>
          <w:szCs w:val="18"/>
          <w:color w:val="0000EE"/>
        </w:rPr>
      </w:pPr>
    </w:p>
    <w:p>
      <w:pPr>
        <w:ind w:right="200" w:firstLine="981"/>
        <w:spacing w:after="0" w:line="277" w:lineRule="auto"/>
        <w:rPr>
          <w:sz w:val="20"/>
          <w:szCs w:val="20"/>
          <w:color w:val="auto"/>
        </w:rPr>
      </w:pPr>
      <w:r>
        <w:rPr>
          <w:rFonts w:ascii="Times New Roman" w:cs="Times New Roman" w:eastAsia="Times New Roman" w:hAnsi="Times New Roman"/>
          <w:sz w:val="18"/>
          <w:szCs w:val="18"/>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63"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3060 Peachtree Road NW</w:t>
      </w:r>
    </w:p>
    <w:p>
      <w:pPr>
        <w:spacing w:after="0" w:line="7"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Suite 1100</w:t>
      </w:r>
    </w:p>
    <w:p>
      <w:pPr>
        <w:spacing w:after="0" w:line="7"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Atlanta, GA 30305</w:t>
      </w:r>
    </w:p>
    <w:p>
      <w:pPr>
        <w:spacing w:after="0" w:line="7"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(404) 504-7472</w:t>
      </w:r>
    </w:p>
    <w:p>
      <w:pPr>
        <w:spacing w:after="0" w:line="344" w:lineRule="exact"/>
        <w:rPr>
          <w:rFonts w:ascii="Times New Roman" w:cs="Times New Roman" w:eastAsia="Times New Roman" w:hAnsi="Times New Roman"/>
          <w:sz w:val="18"/>
          <w:szCs w:val="18"/>
          <w:color w:val="0000EE"/>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18" w:lineRule="exact"/>
        <w:rPr>
          <w:rFonts w:ascii="Times New Roman" w:cs="Times New Roman" w:eastAsia="Times New Roman" w:hAnsi="Times New Roman"/>
          <w:sz w:val="18"/>
          <w:szCs w:val="18"/>
          <w:color w:val="0000EE"/>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500" w:top="264" w:right="579" w:bottom="1440" w:gutter="0" w:footer="0" w:header="0"/>
        </w:sectPr>
      </w:pPr>
    </w:p>
    <w:bookmarkStart w:id="4" w:name="page5"/>
    <w:bookmarkEnd w:id="4"/>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18" w:lineRule="exact"/>
        <w:rPr>
          <w:sz w:val="20"/>
          <w:szCs w:val="20"/>
          <w:color w:val="auto"/>
        </w:rPr>
      </w:pPr>
    </w:p>
    <w:p>
      <w:pPr>
        <w:ind w:left="6" w:right="180" w:firstLine="436"/>
        <w:spacing w:after="0" w:line="257"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shares of common stock registered hereby will be passed upon for the Company by Tyler B. Dempsey, Esq., General Counsel. Mr. Dempsey is paid a salary by the Company, is a participant in various employee benefit plans offered to the Company’s employees and beneficially owns, or has rights to acquire, an aggregate of less than one percent of the shares of the Company’s Class A common stock.</w:t>
      </w:r>
    </w:p>
    <w:p>
      <w:pPr>
        <w:spacing w:after="0" w:line="325" w:lineRule="exact"/>
        <w:rPr>
          <w:sz w:val="20"/>
          <w:szCs w:val="20"/>
          <w:color w:val="auto"/>
        </w:rPr>
      </w:pPr>
    </w:p>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ind w:left="6" w:firstLine="981"/>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89" w:lineRule="exact"/>
        <w:rPr>
          <w:sz w:val="20"/>
          <w:szCs w:val="20"/>
          <w:color w:val="auto"/>
        </w:rPr>
      </w:pPr>
    </w:p>
    <w:p>
      <w:pPr>
        <w:ind w:left="6" w:right="80" w:firstLine="981"/>
        <w:spacing w:after="0" w:line="268" w:lineRule="auto"/>
        <w:rPr>
          <w:sz w:val="20"/>
          <w:szCs w:val="20"/>
          <w:color w:val="auto"/>
        </w:rPr>
      </w:pPr>
      <w:r>
        <w:rPr>
          <w:rFonts w:ascii="Times New Roman" w:cs="Times New Roman" w:eastAsia="Times New Roman" w:hAnsi="Times New Roman"/>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w:t>
      </w:r>
    </w:p>
    <w:p>
      <w:pPr>
        <w:spacing w:after="0" w:line="1" w:lineRule="exact"/>
        <w:rPr>
          <w:sz w:val="20"/>
          <w:szCs w:val="20"/>
          <w:color w:val="auto"/>
        </w:rPr>
      </w:pPr>
    </w:p>
    <w:p>
      <w:pPr>
        <w:ind w:left="6" w:right="420" w:hanging="6"/>
        <w:spacing w:after="0" w:line="255"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The registrant’s Certificate of Incorporation provides for such limitation of liability to the fullest extent permitted by the DGCL.</w:t>
      </w:r>
    </w:p>
    <w:p>
      <w:pPr>
        <w:spacing w:after="0" w:line="182" w:lineRule="exact"/>
        <w:rPr>
          <w:sz w:val="20"/>
          <w:szCs w:val="20"/>
          <w:color w:val="auto"/>
        </w:rPr>
      </w:pPr>
    </w:p>
    <w:p>
      <w:pPr>
        <w:ind w:left="6" w:right="120" w:firstLine="981"/>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to provide contractual indemnification in addition to the indemnification provided in our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The registrant believes that these provisions and agreements are necessary to attract qualified directors.</w:t>
      </w:r>
    </w:p>
    <w:p>
      <w:pPr>
        <w:spacing w:after="0" w:line="183" w:lineRule="exact"/>
        <w:rPr>
          <w:sz w:val="20"/>
          <w:szCs w:val="20"/>
          <w:color w:val="auto"/>
        </w:rPr>
      </w:pPr>
    </w:p>
    <w:p>
      <w:pPr>
        <w:ind w:left="6" w:right="100" w:firstLine="981"/>
        <w:spacing w:after="0" w:line="274" w:lineRule="auto"/>
        <w:rPr>
          <w:sz w:val="20"/>
          <w:szCs w:val="20"/>
          <w:color w:val="auto"/>
        </w:rPr>
      </w:pPr>
      <w:r>
        <w:rPr>
          <w:rFonts w:ascii="Times New Roman" w:cs="Times New Roman" w:eastAsia="Times New Roman" w:hAnsi="Times New Roman"/>
          <w:sz w:val="17"/>
          <w:szCs w:val="17"/>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w:t>
      </w:r>
    </w:p>
    <w:p>
      <w:pPr>
        <w:ind w:left="6" w:right="600" w:hanging="6"/>
        <w:spacing w:after="0" w:line="255"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325" w:lineRule="exact"/>
        <w:rPr>
          <w:sz w:val="20"/>
          <w:szCs w:val="20"/>
          <w:color w:val="auto"/>
        </w:rPr>
      </w:pPr>
    </w:p>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ind w:left="986"/>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4" w:right="519" w:bottom="1440" w:gutter="0" w:footer="0" w:header="0"/>
        </w:sectPr>
      </w:pPr>
    </w:p>
    <w:bookmarkStart w:id="5" w:name="page6"/>
    <w:bookmarkEnd w:id="5"/>
    <w:tbl>
      <w:tblPr>
        <w:tblLayout w:type="fixed"/>
        <w:tblInd w:w="6" w:type="dxa"/>
        <w:tblCellMar>
          <w:top w:w="0" w:type="dxa"/>
          <w:left w:w="0" w:type="dxa"/>
          <w:bottom w:w="0" w:type="dxa"/>
          <w:right w:w="0" w:type="dxa"/>
        </w:tblCellMar>
      </w:tblPr>
      <w:tr>
        <w:trPr>
          <w:trHeight w:val="237"/>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000" w:type="dxa"/>
            <w:vAlign w:val="bottom"/>
            <w:gridSpan w:val="20"/>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8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420" w:type="dxa"/>
            <w:vAlign w:val="bottom"/>
          </w:tcPr>
          <w:p>
            <w:pPr>
              <w:spacing w:after="0"/>
              <w:rPr>
                <w:sz w:val="24"/>
                <w:szCs w:val="2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c>
          <w:tcPr>
            <w:tcW w:w="9320" w:type="dxa"/>
            <w:vAlign w:val="bottom"/>
            <w:gridSpan w:val="18"/>
          </w:tcPr>
          <w:p>
            <w:pPr>
              <w:spacing w:after="0"/>
              <w:rPr>
                <w:sz w:val="24"/>
                <w:szCs w:val="24"/>
                <w:color w:val="auto"/>
              </w:rPr>
            </w:pPr>
          </w:p>
        </w:tc>
      </w:tr>
      <w:tr>
        <w:trPr>
          <w:trHeight w:val="27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3"/>
                <w:szCs w:val="23"/>
                <w:color w:val="auto"/>
              </w:rPr>
            </w:pPr>
          </w:p>
        </w:tc>
        <w:tc>
          <w:tcPr>
            <w:tcW w:w="10000" w:type="dxa"/>
            <w:vAlign w:val="bottom"/>
            <w:gridSpan w:val="20"/>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Certificate of Incorporation of the Company (incorporated by reference to Exhibit 3.2 of the Company’s Form 8-K (File No.</w:t>
              </w:r>
            </w:hyperlink>
          </w:p>
        </w:tc>
      </w:tr>
      <w:tr>
        <w:trPr>
          <w:trHeight w:val="194"/>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80" w:type="dxa"/>
            <w:vAlign w:val="bottom"/>
            <w:tcBorders>
              <w:top w:val="single" w:sz="8" w:color="0000EE"/>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001-38531), filed with the SEC on July 17, 2019).</w:t>
              </w:r>
            </w:hyperlink>
          </w:p>
        </w:tc>
        <w:tc>
          <w:tcPr>
            <w:tcW w:w="5260" w:type="dxa"/>
            <w:vAlign w:val="bottom"/>
            <w:tcBorders>
              <w:top w:val="single" w:sz="8" w:color="0000EE"/>
            </w:tcBorders>
            <w:gridSpan w:val="9"/>
          </w:tcPr>
          <w:p>
            <w:pPr>
              <w:spacing w:after="0"/>
              <w:rPr>
                <w:sz w:val="16"/>
                <w:szCs w:val="16"/>
                <w:color w:val="auto"/>
              </w:rPr>
            </w:pPr>
          </w:p>
        </w:tc>
        <w:tc>
          <w:tcPr>
            <w:tcW w:w="1160" w:type="dxa"/>
            <w:vAlign w:val="bottom"/>
            <w:gridSpan w:val="5"/>
          </w:tcPr>
          <w:p>
            <w:pPr>
              <w:spacing w:after="0"/>
              <w:rPr>
                <w:sz w:val="16"/>
                <w:szCs w:val="16"/>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000" w:type="dxa"/>
            <w:vAlign w:val="bottom"/>
            <w:gridSpan w:val="20"/>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Amendment to Certificate of Incorporation of the Company (incorporated by reference to Exhibit 3.1 of the Company’s Form 8-K (File</w:t>
              </w:r>
            </w:hyperlink>
          </w:p>
        </w:tc>
      </w:tr>
      <w:tr>
        <w:trPr>
          <w:trHeight w:val="194"/>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2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No. 001-38531), filed with the SEC on June 9, 2022).</w:t>
              </w:r>
            </w:hyperlink>
          </w:p>
        </w:tc>
        <w:tc>
          <w:tcPr>
            <w:tcW w:w="5820" w:type="dxa"/>
            <w:vAlign w:val="bottom"/>
            <w:tcBorders>
              <w:top w:val="single" w:sz="8" w:color="0000EE"/>
            </w:tcBorders>
            <w:gridSpan w:val="10"/>
          </w:tcPr>
          <w:p>
            <w:pPr>
              <w:spacing w:after="0"/>
              <w:rPr>
                <w:sz w:val="16"/>
                <w:szCs w:val="16"/>
                <w:color w:val="auto"/>
              </w:rPr>
            </w:pPr>
          </w:p>
        </w:tc>
        <w:tc>
          <w:tcPr>
            <w:tcW w:w="360" w:type="dxa"/>
            <w:vAlign w:val="bottom"/>
            <w:gridSpan w:val="3"/>
          </w:tcPr>
          <w:p>
            <w:pPr>
              <w:spacing w:after="0"/>
              <w:rPr>
                <w:sz w:val="16"/>
                <w:szCs w:val="16"/>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000" w:type="dxa"/>
            <w:vAlign w:val="bottom"/>
            <w:gridSpan w:val="20"/>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Second Amended and Restated Bylaws of the Company (incorporated by reference to Exhibit 3.3 of the Company’s Form 10-Q (File</w:t>
              </w:r>
            </w:hyperlink>
          </w:p>
        </w:tc>
      </w:tr>
      <w:tr>
        <w:trPr>
          <w:trHeight w:val="194"/>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960" w:type="dxa"/>
            <w:vAlign w:val="bottom"/>
            <w:tcBorders>
              <w:top w:val="single" w:sz="8" w:color="0000EE"/>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No. 001-38531), filed with the SEC on Augus 8, 2024).</w:t>
              </w:r>
            </w:hyperlink>
          </w:p>
        </w:tc>
        <w:tc>
          <w:tcPr>
            <w:tcW w:w="5500" w:type="dxa"/>
            <w:vAlign w:val="bottom"/>
            <w:tcBorders>
              <w:top w:val="single" w:sz="8" w:color="0000EE"/>
            </w:tcBorders>
            <w:gridSpan w:val="8"/>
          </w:tcPr>
          <w:p>
            <w:pPr>
              <w:spacing w:after="0"/>
              <w:rPr>
                <w:sz w:val="16"/>
                <w:szCs w:val="16"/>
                <w:color w:val="auto"/>
              </w:rPr>
            </w:pPr>
          </w:p>
        </w:tc>
        <w:tc>
          <w:tcPr>
            <w:tcW w:w="540" w:type="dxa"/>
            <w:vAlign w:val="bottom"/>
            <w:gridSpan w:val="4"/>
          </w:tcPr>
          <w:p>
            <w:pPr>
              <w:spacing w:after="0"/>
              <w:rPr>
                <w:sz w:val="16"/>
                <w:szCs w:val="16"/>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97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Certificate of Designation for Series A Junior Participating Preferred Stock of Repay Holdings Corporation (incorporated by reference to</w:t>
              </w:r>
            </w:hyperlink>
          </w:p>
        </w:tc>
        <w:tc>
          <w:tcPr>
            <w:tcW w:w="240" w:type="dxa"/>
            <w:vAlign w:val="bottom"/>
            <w:gridSpan w:val="2"/>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Exhibit 3.1 of the Company’s Form 8-K (File No. 001-38531), filed with the SEC on April 14, 2026).</w:t>
              </w:r>
            </w:hyperlink>
          </w:p>
        </w:tc>
        <w:tc>
          <w:tcPr>
            <w:tcW w:w="2760" w:type="dxa"/>
            <w:vAlign w:val="bottom"/>
            <w:gridSpan w:val="8"/>
          </w:tcPr>
          <w:p>
            <w:pPr>
              <w:spacing w:after="0"/>
              <w:rPr>
                <w:sz w:val="16"/>
                <w:szCs w:val="16"/>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99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Stockholder Rights Agreement, dated as of April 13, 2026, by and between Repay Holdings Corporation and Continental Stock Transfer &amp;</w:t>
              </w:r>
            </w:hyperlink>
          </w:p>
        </w:tc>
        <w:tc>
          <w:tcPr>
            <w:tcW w:w="40" w:type="dxa"/>
            <w:vAlign w:val="bottom"/>
          </w:tcPr>
          <w:p>
            <w:pPr>
              <w:spacing w:after="0"/>
              <w:rPr>
                <w:sz w:val="24"/>
                <w:szCs w:val="24"/>
                <w:color w:val="auto"/>
              </w:rPr>
            </w:pPr>
          </w:p>
        </w:tc>
      </w:tr>
      <w:tr>
        <w:trPr>
          <w:trHeight w:val="194"/>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0" w:type="dxa"/>
            <w:vAlign w:val="bottom"/>
            <w:tcBorders>
              <w:bottom w:val="single" w:sz="8" w:color="0000EE"/>
            </w:tcBorders>
            <w:gridSpan w:val="20"/>
          </w:tcPr>
          <w:p>
            <w:pPr>
              <w:spacing w:after="0" w:line="194"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Trust Company (incorporated by reference to Exhibit 4.1 of the Company’s Form 8-K (File No. 001-38531), filed with the SEC on April 14,</w:t>
              </w:r>
            </w:hyperlink>
          </w:p>
        </w:tc>
      </w:tr>
      <w:tr>
        <w:trPr>
          <w:trHeight w:val="194"/>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35">
              <w:r>
                <w:rPr>
                  <w:rFonts w:ascii="Times New Roman" w:cs="Times New Roman" w:eastAsia="Times New Roman" w:hAnsi="Times New Roman"/>
                  <w:sz w:val="18"/>
                  <w:szCs w:val="18"/>
                  <w:color w:val="0000EE"/>
                  <w:w w:val="94"/>
                </w:rPr>
                <w:t>2026).</w:t>
              </w:r>
            </w:hyperlink>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24"/>
                <w:szCs w:val="24"/>
                <w:color w:val="auto"/>
              </w:rPr>
            </w:pPr>
          </w:p>
        </w:tc>
        <w:tc>
          <w:tcPr>
            <w:tcW w:w="50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Form of Restricted Stock Employment Inducement Award Agreement.</w:t>
            </w:r>
          </w:p>
        </w:tc>
        <w:tc>
          <w:tcPr>
            <w:tcW w:w="4960" w:type="dxa"/>
            <w:vAlign w:val="bottom"/>
            <w:gridSpan w:val="9"/>
          </w:tcPr>
          <w:p>
            <w:pPr>
              <w:spacing w:after="0"/>
              <w:rPr>
                <w:sz w:val="24"/>
                <w:szCs w:val="24"/>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Form of Performance-Based Restricted Stock Units Employment Inducement Award Agreement (TSR).</w:t>
            </w: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24"/>
                <w:szCs w:val="24"/>
                <w:color w:val="auto"/>
              </w:rPr>
            </w:pPr>
          </w:p>
        </w:tc>
        <w:tc>
          <w:tcPr>
            <w:tcW w:w="84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Form of Performance-Based Restricted Stock Units Employment Inducement Award Agreement (Adjusted EBITDA).</w:t>
            </w:r>
          </w:p>
        </w:tc>
        <w:tc>
          <w:tcPr>
            <w:tcW w:w="1580" w:type="dxa"/>
            <w:vAlign w:val="bottom"/>
            <w:gridSpan w:val="6"/>
          </w:tcPr>
          <w:p>
            <w:pPr>
              <w:spacing w:after="0"/>
              <w:rPr>
                <w:sz w:val="24"/>
                <w:szCs w:val="24"/>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Opinion of Tyler B. Dempsey, Esq.</w:t>
            </w: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23.1*</w:t>
            </w:r>
          </w:p>
        </w:tc>
        <w:tc>
          <w:tcPr>
            <w:tcW w:w="4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Consent of Grant Thornton LLP.</w:t>
            </w:r>
          </w:p>
        </w:tc>
        <w:tc>
          <w:tcPr>
            <w:tcW w:w="180" w:type="dxa"/>
            <w:vAlign w:val="bottom"/>
            <w:tcBorders>
              <w:top w:val="single" w:sz="8" w:color="0000EE"/>
            </w:tcBorders>
          </w:tcPr>
          <w:p>
            <w:pPr>
              <w:spacing w:after="0"/>
              <w:rPr>
                <w:sz w:val="24"/>
                <w:szCs w:val="24"/>
                <w:color w:val="auto"/>
              </w:rPr>
            </w:pPr>
          </w:p>
        </w:tc>
        <w:tc>
          <w:tcPr>
            <w:tcW w:w="7500" w:type="dxa"/>
            <w:vAlign w:val="bottom"/>
            <w:gridSpan w:val="15"/>
          </w:tcPr>
          <w:p>
            <w:pPr>
              <w:spacing w:after="0"/>
              <w:rPr>
                <w:sz w:val="24"/>
                <w:szCs w:val="24"/>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Tyler B. Dempsey, Esq. (included in Exhibit 5.1).</w:t>
            </w: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Power of Attorney (contained on the signature page hereto).</w:t>
            </w:r>
          </w:p>
        </w:tc>
        <w:tc>
          <w:tcPr>
            <w:tcW w:w="60" w:type="dxa"/>
            <w:vAlign w:val="bottom"/>
            <w:tcBorders>
              <w:top w:val="single" w:sz="8" w:color="0000EE"/>
            </w:tcBorders>
          </w:tcPr>
          <w:p>
            <w:pPr>
              <w:spacing w:after="0"/>
              <w:rPr>
                <w:sz w:val="24"/>
                <w:szCs w:val="24"/>
                <w:color w:val="auto"/>
              </w:rPr>
            </w:pPr>
          </w:p>
        </w:tc>
        <w:tc>
          <w:tcPr>
            <w:tcW w:w="5660" w:type="dxa"/>
            <w:vAlign w:val="bottom"/>
            <w:gridSpan w:val="10"/>
          </w:tcPr>
          <w:p>
            <w:pPr>
              <w:spacing w:after="0"/>
              <w:rPr>
                <w:sz w:val="24"/>
                <w:szCs w:val="24"/>
                <w:color w:val="auto"/>
              </w:rPr>
            </w:pPr>
          </w:p>
        </w:tc>
      </w:tr>
      <w:tr>
        <w:trPr>
          <w:trHeight w:val="30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55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5" w:lineRule="exact"/>
        <w:rPr>
          <w:sz w:val="20"/>
          <w:szCs w:val="20"/>
          <w:color w:val="auto"/>
        </w:rPr>
      </w:pPr>
    </w:p>
    <w:p>
      <w:pPr>
        <w:ind w:left="426" w:hanging="426"/>
        <w:spacing w:after="0"/>
        <w:tabs>
          <w:tab w:leader="none" w:pos="4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3" w:lineRule="exact"/>
        <w:rPr>
          <w:sz w:val="20"/>
          <w:szCs w:val="20"/>
          <w:color w:val="auto"/>
        </w:rPr>
      </w:pPr>
    </w:p>
    <w:p>
      <w:pPr>
        <w:ind w:left="6"/>
        <w:spacing w:after="0"/>
        <w:tabs>
          <w:tab w:leader="none" w:pos="106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ind w:left="1226" w:hanging="245"/>
        <w:spacing w:after="0"/>
        <w:tabs>
          <w:tab w:leader="none" w:pos="1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1626" w:hanging="249"/>
        <w:spacing w:after="0"/>
        <w:tabs>
          <w:tab w:leader="none" w:pos="16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2006" w:hanging="210"/>
        <w:spacing w:after="0"/>
        <w:tabs>
          <w:tab w:leader="none" w:pos="200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and</w:t>
      </w:r>
    </w:p>
    <w:p>
      <w:pPr>
        <w:spacing w:after="0" w:line="154"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6"/>
          </w:cols>
          <w:pgMar w:left="494" w:top="264" w:right="559" w:bottom="1440" w:gutter="0" w:footer="0" w:header="0"/>
        </w:sectPr>
      </w:pPr>
    </w:p>
    <w:bookmarkStart w:id="6" w:name="page7"/>
    <w:bookmarkEnd w:id="6"/>
    <w:p>
      <w:pPr>
        <w:ind w:left="1420" w:firstLine="370"/>
        <w:spacing w:after="0" w:line="252" w:lineRule="auto"/>
        <w:tabs>
          <w:tab w:leader="none" w:pos="20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1" w:lineRule="exact"/>
        <w:rPr>
          <w:rFonts w:ascii="Times New Roman" w:cs="Times New Roman" w:eastAsia="Times New Roman" w:hAnsi="Times New Roman"/>
          <w:sz w:val="18"/>
          <w:szCs w:val="18"/>
          <w:color w:val="auto"/>
        </w:rPr>
      </w:pPr>
    </w:p>
    <w:p>
      <w:pPr>
        <w:ind w:left="1420" w:right="680" w:firstLine="370"/>
        <w:spacing w:after="0" w:line="277" w:lineRule="auto"/>
        <w:tabs>
          <w:tab w:leader="none" w:pos="21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98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15(d) of the Exchange Act that are incorporated by reference in this registration statement.</w:t>
      </w:r>
    </w:p>
    <w:p>
      <w:pPr>
        <w:spacing w:after="0" w:line="70" w:lineRule="exact"/>
        <w:rPr>
          <w:sz w:val="20"/>
          <w:szCs w:val="20"/>
          <w:color w:val="auto"/>
        </w:rPr>
      </w:pPr>
    </w:p>
    <w:p>
      <w:pPr>
        <w:jc w:val="both"/>
        <w:ind w:left="980" w:right="120" w:firstLine="391"/>
        <w:spacing w:after="0" w:line="262" w:lineRule="auto"/>
        <w:tabs>
          <w:tab w:leader="none" w:pos="16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0" w:lineRule="exact"/>
        <w:rPr>
          <w:rFonts w:ascii="Times New Roman" w:cs="Times New Roman" w:eastAsia="Times New Roman" w:hAnsi="Times New Roman"/>
          <w:sz w:val="18"/>
          <w:szCs w:val="18"/>
          <w:color w:val="auto"/>
        </w:rPr>
      </w:pPr>
    </w:p>
    <w:p>
      <w:pPr>
        <w:ind w:left="980" w:right="120" w:firstLine="391"/>
        <w:spacing w:after="0" w:line="277" w:lineRule="auto"/>
        <w:tabs>
          <w:tab w:leader="none" w:pos="16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firstLine="975"/>
        <w:spacing w:after="0" w:line="255" w:lineRule="auto"/>
        <w:tabs>
          <w:tab w:leader="none" w:pos="12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82" w:lineRule="exact"/>
        <w:rPr>
          <w:rFonts w:ascii="Times New Roman" w:cs="Times New Roman" w:eastAsia="Times New Roman" w:hAnsi="Times New Roman"/>
          <w:sz w:val="18"/>
          <w:szCs w:val="18"/>
          <w:color w:val="auto"/>
        </w:rPr>
      </w:pPr>
    </w:p>
    <w:p>
      <w:pPr>
        <w:ind w:right="60" w:firstLine="975"/>
        <w:spacing w:after="0" w:line="252" w:lineRule="auto"/>
        <w:tabs>
          <w:tab w:leader="none" w:pos="12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8" w:right="5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firstLine="98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June 16,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224"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15875</wp:posOffset>
            </wp:positionV>
            <wp:extent cx="2400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Morris</w:t>
      </w:r>
    </w:p>
    <w:p>
      <w:pPr>
        <w:spacing w:after="0" w:line="26"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500" w:top="264" w:right="5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POWERS OF ATTORNEY</w:t>
      </w:r>
    </w:p>
    <w:p>
      <w:pPr>
        <w:spacing w:after="0" w:line="22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John Morris and Tyler B. Dempsey or any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might or would do in person, hereby ratifying and confirming all that said attorneys-in-fact and agents or any of them, or their or his substitute or substitutes, may lawfully do or cause to be done by virtue hereof.</w:t>
      </w:r>
    </w:p>
    <w:p>
      <w:pPr>
        <w:spacing w:after="0" w:line="189"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Morris</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Morris</w:t>
            </w:r>
          </w:p>
        </w:tc>
        <w:tc>
          <w:tcPr>
            <w:tcW w:w="120" w:type="dxa"/>
            <w:vAlign w:val="bottom"/>
          </w:tcPr>
          <w:p>
            <w:pPr>
              <w:spacing w:after="0"/>
              <w:rPr>
                <w:sz w:val="19"/>
                <w:szCs w:val="19"/>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S. Houser</w:t>
            </w:r>
          </w:p>
        </w:tc>
        <w:tc>
          <w:tcPr>
            <w:tcW w:w="120" w:type="dxa"/>
            <w:vAlign w:val="bottom"/>
          </w:tcPr>
          <w:p>
            <w:pPr>
              <w:spacing w:after="0"/>
              <w:rPr>
                <w:sz w:val="24"/>
                <w:szCs w:val="24"/>
                <w:color w:val="auto"/>
              </w:rPr>
            </w:pPr>
          </w:p>
        </w:tc>
        <w:tc>
          <w:tcPr>
            <w:tcW w:w="3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S. Houser</w:t>
            </w:r>
          </w:p>
        </w:tc>
        <w:tc>
          <w:tcPr>
            <w:tcW w:w="120" w:type="dxa"/>
            <w:vAlign w:val="bottom"/>
          </w:tcPr>
          <w:p>
            <w:pPr>
              <w:spacing w:after="0"/>
              <w:rPr>
                <w:sz w:val="19"/>
                <w:szCs w:val="19"/>
                <w:color w:val="auto"/>
              </w:rPr>
            </w:pPr>
          </w:p>
        </w:tc>
        <w:tc>
          <w:tcPr>
            <w:tcW w:w="3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Sullivan</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Sullivan</w:t>
            </w:r>
          </w:p>
        </w:tc>
        <w:tc>
          <w:tcPr>
            <w:tcW w:w="120" w:type="dxa"/>
            <w:vAlign w:val="bottom"/>
          </w:tcPr>
          <w:p>
            <w:pPr>
              <w:spacing w:after="0"/>
              <w:rPr>
                <w:sz w:val="19"/>
                <w:szCs w:val="19"/>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Kight</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Kight</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Paul Garcia</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Garcia</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Maryann Goebel</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Maryann Goebel</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Thornburgh</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Thornburgh</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Emnet Rios</w:t>
            </w: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16, 2026</w:t>
            </w:r>
          </w:p>
        </w:tc>
      </w:tr>
      <w:tr>
        <w:trPr>
          <w:trHeight w:val="22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Emnet Rios</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EMPLOYMENT INDUCEMENT AWARD DOCUMENT</w:t>
      </w:r>
    </w:p>
    <w:p>
      <w:pPr>
        <w:spacing w:after="0" w:line="202" w:lineRule="exact"/>
        <w:rPr>
          <w:sz w:val="20"/>
          <w:szCs w:val="20"/>
          <w:color w:val="auto"/>
        </w:rPr>
      </w:pPr>
    </w:p>
    <w:p>
      <w:pPr>
        <w:ind w:right="20" w:firstLine="436"/>
        <w:spacing w:after="0" w:line="250" w:lineRule="auto"/>
        <w:rPr>
          <w:sz w:val="20"/>
          <w:szCs w:val="20"/>
          <w:color w:val="auto"/>
        </w:rPr>
      </w:pPr>
      <w:r>
        <w:rPr>
          <w:rFonts w:ascii="Times New Roman" w:cs="Times New Roman" w:eastAsia="Times New Roman" w:hAnsi="Times New Roman"/>
          <w:sz w:val="18"/>
          <w:szCs w:val="18"/>
          <w:color w:val="auto"/>
        </w:rPr>
        <w:t>THIS RESTRICTED STOCK EMPLOYMENT INDUCEMENT AWARD DOCUMENT (this “Award Document”) is hereby granted as of the “Grant Date” set forth below by Repay Holdings Corporation, a Delaware corporation (the “Company”), to the “Grantee” identified below as an inducement to Grantee’s acceptance of the Company’s offer of employment. The terms and conditions of this Restricted Stock Award are set forth in this Award Document. This Restricted Stock Award constitutes a stand-alone, non-plan “employment inducement grant” as contemplated by NASDAQ Listing Rule 5635(c)(4) and therefore is not made under or pursuant to the Repay Holdings Corporation Amended and Restated Omnibus Incentive Plan (as amended and restated effective as of April 19, 2024, the “Plan”) or any other equity compensation plan of the Company. Nevertheless, the terms and provisions of the Plan are hereby incorporated into this Award Document by this reference, as though fully set forth herein, as if this Restricted Stock Award were granted pursuant to the Plan. For the avoidance of doubt, this Award shall not be counted for purposes of calculating the aggregate number of Shares that may be issued or transferred pursuant to Awards under Section 11(a) of the Plan. A copy of the Plan has been provided to the Grantee along with this Award Document. Capitalized terms used herein shall, unless otherwise required by the context, have the meaning ascribed to such terms in the Plan.</w:t>
      </w:r>
    </w:p>
    <w:p>
      <w:pPr>
        <w:spacing w:after="0" w:line="193"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By action of the Committee, and subject to the terms of this Award Document, the Grantee is hereby granted an Award of the number of Shares set forth below (the “Shares”), subject in all regards to the terms of this Award Document and the Plan and to the restrictions and risks of forfeiture set forth in this Award Document.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in this Award Document, the Company and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agree as follows:</w:t>
      </w:r>
    </w:p>
    <w:p>
      <w:pPr>
        <w:spacing w:after="0" w:line="202" w:lineRule="exact"/>
        <w:rPr>
          <w:sz w:val="20"/>
          <w:szCs w:val="20"/>
          <w:color w:val="auto"/>
        </w:rPr>
      </w:pPr>
    </w:p>
    <w:p>
      <w:pPr>
        <w:ind w:right="240" w:firstLine="430"/>
        <w:spacing w:after="0" w:line="277" w:lineRule="auto"/>
        <w:tabs>
          <w:tab w:leader="none" w:pos="6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Grantee the Shares, on the terms and conditions set forth in this Award Document and as otherwise set forth in the Plan, the terms and provisions of which are incorporated herein.</w:t>
      </w:r>
    </w:p>
    <w:p>
      <w:pPr>
        <w:sectPr>
          <w:pgSz w:w="11900" w:h="16838" w:orient="portrait"/>
          <w:cols w:equalWidth="0" w:num="1">
            <w:col w:w="10900"/>
          </w:cols>
          <w:pgMar w:left="500" w:top="117" w:right="499" w:bottom="1440" w:gutter="0" w:footer="0" w:header="0"/>
        </w:sectPr>
      </w:pPr>
    </w:p>
    <w:bookmarkStart w:id="10" w:name="page11"/>
    <w:bookmarkEnd w:id="10"/>
    <w:p>
      <w:pPr>
        <w:ind w:left="600" w:hanging="170"/>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Vesting and Forfeiture</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40" w:firstLine="975"/>
        <w:spacing w:after="0" w:line="262" w:lineRule="auto"/>
        <w:tabs>
          <w:tab w:leader="none" w:pos="12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Subject to the other terms contained in this Award Document, the Shares shall become vested on the dates set forth below (each, a “Vesting Date”), subject to the continued employment of the Grantee by the Company or Affiliate thereof through each such Vesting Date, as to the specified portion of the Shares indicated:</w:t>
      </w:r>
    </w:p>
    <w:p>
      <w:pPr>
        <w:spacing w:after="0" w:line="197" w:lineRule="exact"/>
        <w:rPr>
          <w:sz w:val="20"/>
          <w:szCs w:val="20"/>
          <w:color w:val="auto"/>
        </w:rPr>
      </w:pPr>
    </w:p>
    <w:tbl>
      <w:tblPr>
        <w:tblLayout w:type="fixed"/>
        <w:tblInd w:w="17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22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w w:val="99"/>
              </w:rPr>
              <w:t>Vested Percentage</w:t>
            </w:r>
          </w:p>
        </w:tc>
      </w:tr>
      <w:tr>
        <w:trPr>
          <w:trHeight w:val="207"/>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anniversary of the Grant Date</w:t>
            </w:r>
          </w:p>
        </w:tc>
        <w:tc>
          <w:tcPr>
            <w:tcW w:w="1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Second anniversary of the Grant Date</w:t>
            </w:r>
          </w:p>
        </w:tc>
        <w:tc>
          <w:tcPr>
            <w:tcW w:w="2240" w:type="dxa"/>
            <w:vAlign w:val="bottom"/>
            <w:gridSpan w:val="2"/>
          </w:tcPr>
          <w:p>
            <w:pPr>
              <w:jc w:val="center"/>
              <w:ind w:left="1015"/>
              <w:spacing w:after="0"/>
              <w:rPr>
                <w:sz w:val="20"/>
                <w:szCs w:val="20"/>
                <w:color w:val="auto"/>
              </w:rPr>
            </w:pPr>
            <w:r>
              <w:rPr>
                <w:rFonts w:ascii="Times New Roman" w:cs="Times New Roman" w:eastAsia="Times New Roman" w:hAnsi="Times New Roman"/>
                <w:sz w:val="18"/>
                <w:szCs w:val="18"/>
                <w:color w:val="auto"/>
              </w:rPr>
              <w:t>25%</w:t>
            </w: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anniversary of the Grant Date</w:t>
            </w:r>
          </w:p>
        </w:tc>
        <w:tc>
          <w:tcPr>
            <w:tcW w:w="2240" w:type="dxa"/>
            <w:vAlign w:val="bottom"/>
            <w:gridSpan w:val="2"/>
            <w:shd w:val="clear" w:color="auto" w:fill="CCEEFF"/>
          </w:tcPr>
          <w:p>
            <w:pPr>
              <w:jc w:val="center"/>
              <w:ind w:left="1015"/>
              <w:spacing w:after="0"/>
              <w:rPr>
                <w:sz w:val="20"/>
                <w:szCs w:val="20"/>
                <w:color w:val="auto"/>
              </w:rPr>
            </w:pPr>
            <w:r>
              <w:rPr>
                <w:rFonts w:ascii="Times New Roman" w:cs="Times New Roman" w:eastAsia="Times New Roman" w:hAnsi="Times New Roman"/>
                <w:sz w:val="18"/>
                <w:szCs w:val="18"/>
                <w:color w:val="auto"/>
              </w:rPr>
              <w:t>25%</w:t>
            </w:r>
          </w:p>
        </w:tc>
      </w:tr>
      <w:tr>
        <w:trPr>
          <w:trHeight w:val="233"/>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Fourth anniversary of the Grant Date</w:t>
            </w:r>
          </w:p>
        </w:tc>
        <w:tc>
          <w:tcPr>
            <w:tcW w:w="2240" w:type="dxa"/>
            <w:vAlign w:val="bottom"/>
            <w:gridSpan w:val="2"/>
          </w:tcPr>
          <w:p>
            <w:pPr>
              <w:jc w:val="center"/>
              <w:ind w:left="1015"/>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6"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7"/>
          <w:szCs w:val="17"/>
          <w:color w:val="auto"/>
        </w:rPr>
        <w:t>For purposes of clarity and avoidance of doubt, the foregoing vesting schedule is structured so as to result in the Shares being 100% vested on the fourth anniversary of the Grant Date, subject to the continued employment of the Grantee by the Company or Affiliate thereof through such Vesting Date.</w:t>
      </w:r>
    </w:p>
    <w:p>
      <w:pPr>
        <w:spacing w:after="0" w:line="139" w:lineRule="exact"/>
        <w:rPr>
          <w:sz w:val="20"/>
          <w:szCs w:val="20"/>
          <w:color w:val="auto"/>
        </w:rPr>
      </w:pPr>
    </w:p>
    <w:p>
      <w:pPr>
        <w:ind w:right="40" w:firstLine="975"/>
        <w:spacing w:after="0" w:line="252" w:lineRule="auto"/>
        <w:tabs>
          <w:tab w:leader="none" w:pos="12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Notwithstanding the foregoing, if there is a Change in Control prior to the fourth anniversary of the Grant Date and the successor to the Company does not assume or provide for a substitute for the unvested Shares under this Award, with appropriate adjustments to the number and kind of shares of stock underlying this Award as may result from the Change in Control, the Grantee’s unvested Shares shall become fully vested on the occurrence of such Change in Control, subject to the continued employment of the Grantee by the Company or Affiliate thereof until such Change in Control. If there is a Change in Control prior to the fourth anniversary of the Grant Date and the successor company assumes or provides a substitute award for the unvested Shares under this Award, with appropriate adjustments to the number and kind of shares of stock underlying this Award as may result from the Change in Control, such unvested Shares will remain subject to the same vesting schedule set forth in Section 2(a) above (subject to Section 2(c) below and this Section 2(b) in connection with a subsequent Change in Control).</w:t>
      </w:r>
    </w:p>
    <w:p>
      <w:pPr>
        <w:spacing w:after="0" w:line="184" w:lineRule="exact"/>
        <w:rPr>
          <w:rFonts w:ascii="Times New Roman" w:cs="Times New Roman" w:eastAsia="Times New Roman" w:hAnsi="Times New Roman"/>
          <w:sz w:val="18"/>
          <w:szCs w:val="18"/>
          <w:color w:val="auto"/>
        </w:rPr>
      </w:pPr>
    </w:p>
    <w:p>
      <w:pPr>
        <w:ind w:firstLine="975"/>
        <w:spacing w:after="0" w:line="257" w:lineRule="auto"/>
        <w:tabs>
          <w:tab w:leader="none" w:pos="12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on or following a Change in Control with respect to which the successor company assumes or provides a substitute award for the unvested Shares under this Award, with appropriate adjustments to the number and kind of shares of stock underlying this Award as may result from the Change in Control, the Grantee’s employment with the Company and its Affiliates (or any successor thereof) is terminated on or before the fourth anniversary of the Grant Date by</w:t>
      </w:r>
    </w:p>
    <w:p>
      <w:pPr>
        <w:spacing w:after="0" w:line="115" w:lineRule="exact"/>
        <w:rPr>
          <w:rFonts w:ascii="Times New Roman" w:cs="Times New Roman" w:eastAsia="Times New Roman" w:hAnsi="Times New Roman"/>
          <w:sz w:val="18"/>
          <w:szCs w:val="18"/>
          <w:color w:val="auto"/>
        </w:rPr>
      </w:pPr>
    </w:p>
    <w:p>
      <w:pPr>
        <w:ind w:left="5400" w:hanging="104"/>
        <w:spacing w:after="0"/>
        <w:tabs>
          <w:tab w:leader="none" w:pos="5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880"/>
          </w:cols>
          <w:pgMar w:left="500" w:top="268" w:right="51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or an Affiliate (or any successor thereof) without Cause (as hereinafter defined), by the Grantee for Good Reason (as hereinafter defined), or on account of Grantee’s death or Incapacity (as hereinafter defined), and such termination constitutes a separation from service (within the meaning of Section 409A of the Code), then the Grantee’s unvested Shares shall become fully vested upon the termination of Grantee’s employment with the Company and its Affiliates (or any successor thereof) by the Company or an Affiliate (or any successor thereof) without Cause, by the Grantee for Good Reason, or on account of Grantee’s death or Incapacity.</w:t>
      </w:r>
    </w:p>
    <w:p>
      <w:pPr>
        <w:spacing w:after="0" w:line="183"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For purposes of this Award Document, “Incapacity” shall have the same definition as under any employment agreement between the Company or an Affiliate (or any successor thereof) and the Grantee or, if no such employment agreement exists or if such employment agreement does not contain any such definition or words of similar import, “Incapacity” shall have the same meaning as “Disability” under the Plan; and “Cause” and “Good Reason” shall have the same definitions as under the Plan.</w:t>
      </w:r>
    </w:p>
    <w:p>
      <w:pPr>
        <w:spacing w:after="0" w:line="182" w:lineRule="exact"/>
        <w:rPr>
          <w:sz w:val="20"/>
          <w:szCs w:val="20"/>
          <w:color w:val="auto"/>
        </w:rPr>
      </w:pPr>
    </w:p>
    <w:p>
      <w:pPr>
        <w:ind w:right="80" w:firstLine="975"/>
        <w:spacing w:after="0" w:line="255" w:lineRule="auto"/>
        <w:tabs>
          <w:tab w:leader="none" w:pos="1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Incapacity Prior to a Change in Control</w:t>
      </w:r>
      <w:r>
        <w:rPr>
          <w:rFonts w:ascii="Times New Roman" w:cs="Times New Roman" w:eastAsia="Times New Roman" w:hAnsi="Times New Roman"/>
          <w:sz w:val="18"/>
          <w:szCs w:val="18"/>
          <w:color w:val="auto"/>
        </w:rPr>
        <w:t>. If prior to a Change in Control and the fourth anniversary of the Grant Date, the Grantee’s employment with the Company and its Affiliates (or any successor thereof) is terminated on account of Grantee’s death or Incapacity, and such termination constitutes a separation from service (within the meaning of Section 409A of the Code), then the Grantee’s unvested Shares under this Award shall become fully vested upon the termination of Grantee’s employment with the Company and its Affiliates (or any successor thereof) on account of Grantee’s death or Incapacity.</w:t>
      </w:r>
    </w:p>
    <w:p>
      <w:pPr>
        <w:spacing w:after="0" w:line="182" w:lineRule="exact"/>
        <w:rPr>
          <w:rFonts w:ascii="Times New Roman" w:cs="Times New Roman" w:eastAsia="Times New Roman" w:hAnsi="Times New Roman"/>
          <w:sz w:val="18"/>
          <w:szCs w:val="18"/>
          <w:color w:val="auto"/>
        </w:rPr>
      </w:pPr>
    </w:p>
    <w:p>
      <w:pPr>
        <w:ind w:right="520" w:firstLine="975"/>
        <w:spacing w:after="0" w:line="285" w:lineRule="auto"/>
        <w:tabs>
          <w:tab w:leader="none" w:pos="12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of Unvested Shares.</w:t>
      </w:r>
      <w:r>
        <w:rPr>
          <w:rFonts w:ascii="Times New Roman" w:cs="Times New Roman" w:eastAsia="Times New Roman" w:hAnsi="Times New Roman"/>
          <w:sz w:val="17"/>
          <w:szCs w:val="17"/>
          <w:color w:val="auto"/>
        </w:rPr>
        <w:t xml:space="preserve"> Except as otherwise provided herein or in any employment agreement between Grantee and the Company or any Affiliate or as determined by the Committee in its sole discretion, the Grantee’s unvested Shares shall be automatically forfeited without consideration to the Grantee upon the Grantee’s termination of employment with the Company or its Affiliates for any reason.</w:t>
      </w:r>
    </w:p>
    <w:p>
      <w:pPr>
        <w:spacing w:after="0" w:line="158" w:lineRule="exact"/>
        <w:rPr>
          <w:rFonts w:ascii="Times New Roman" w:cs="Times New Roman" w:eastAsia="Times New Roman" w:hAnsi="Times New Roman"/>
          <w:sz w:val="17"/>
          <w:szCs w:val="17"/>
          <w:color w:val="auto"/>
        </w:rPr>
      </w:pPr>
    </w:p>
    <w:p>
      <w:pPr>
        <w:ind w:right="140" w:firstLine="975"/>
        <w:spacing w:after="0" w:line="277" w:lineRule="auto"/>
        <w:tabs>
          <w:tab w:leader="none" w:pos="12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Except as otherwise expressly provided in Section 2(h) below or in the Plan, the Grantee shall have all of the rights of a stockholder of the Company with respect to the Shares unless and until such Shares are forfeited.</w:t>
      </w:r>
    </w:p>
    <w:p>
      <w:pPr>
        <w:spacing w:after="0" w:line="163" w:lineRule="exact"/>
        <w:rPr>
          <w:rFonts w:ascii="Times New Roman" w:cs="Times New Roman" w:eastAsia="Times New Roman" w:hAnsi="Times New Roman"/>
          <w:sz w:val="18"/>
          <w:szCs w:val="18"/>
          <w:color w:val="auto"/>
        </w:rPr>
      </w:pPr>
    </w:p>
    <w:p>
      <w:pPr>
        <w:jc w:val="both"/>
        <w:ind w:right="40" w:firstLine="975"/>
        <w:spacing w:after="0" w:line="262" w:lineRule="auto"/>
        <w:tabs>
          <w:tab w:leader="none" w:pos="1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for Taxes</w:t>
      </w:r>
      <w:r>
        <w:rPr>
          <w:rFonts w:ascii="Times New Roman" w:cs="Times New Roman" w:eastAsia="Times New Roman" w:hAnsi="Times New Roman"/>
          <w:sz w:val="18"/>
          <w:szCs w:val="18"/>
          <w:color w:val="auto"/>
        </w:rPr>
        <w:t>. Withholding of any portion of the Shares in connection with the Company’s withholding obligations arising on account of the vesting of the Shares shall be deemed to be a taxable repurchase of such withheld Shares for federal income tax purposes at the time that occurs.</w:t>
      </w:r>
    </w:p>
    <w:p>
      <w:pPr>
        <w:spacing w:after="0" w:line="177" w:lineRule="exact"/>
        <w:rPr>
          <w:rFonts w:ascii="Times New Roman" w:cs="Times New Roman" w:eastAsia="Times New Roman" w:hAnsi="Times New Roman"/>
          <w:sz w:val="18"/>
          <w:szCs w:val="18"/>
          <w:color w:val="auto"/>
        </w:rPr>
      </w:pPr>
    </w:p>
    <w:p>
      <w:pPr>
        <w:ind w:right="100" w:firstLine="975"/>
        <w:spacing w:after="0" w:line="257" w:lineRule="auto"/>
        <w:tabs>
          <w:tab w:leader="none" w:pos="1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w:t>
      </w:r>
      <w:r>
        <w:rPr>
          <w:rFonts w:ascii="Times New Roman" w:cs="Times New Roman" w:eastAsia="Times New Roman" w:hAnsi="Times New Roman"/>
          <w:sz w:val="18"/>
          <w:szCs w:val="18"/>
          <w:color w:val="auto"/>
        </w:rPr>
        <w:t>. For so long as the Grantee holds the unvested Shares under this Award, if the Company (or any successor thereof) pays any cash dividends on its Common Stock, then the Company (or any successor thereof) will accumulate and pay the Grantee in cash for each outstanding unvested Share covered by this Award as of the record date for such dividend, less any required withholding taxes, the per share amount of such dividend that the Grantee would have received had the</w:t>
      </w:r>
    </w:p>
    <w:p>
      <w:pPr>
        <w:spacing w:after="0" w:line="115" w:lineRule="exact"/>
        <w:rPr>
          <w:rFonts w:ascii="Times New Roman" w:cs="Times New Roman" w:eastAsia="Times New Roman" w:hAnsi="Times New Roman"/>
          <w:sz w:val="18"/>
          <w:szCs w:val="18"/>
          <w:color w:val="auto"/>
        </w:rPr>
      </w:pPr>
    </w:p>
    <w:p>
      <w:pPr>
        <w:ind w:left="5400" w:hanging="104"/>
        <w:spacing w:after="0"/>
        <w:tabs>
          <w:tab w:leader="none" w:pos="54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860"/>
          </w:cols>
          <w:pgMar w:left="500" w:top="268" w:right="539" w:bottom="1440" w:gutter="0" w:footer="0" w:header="0"/>
        </w:sectPr>
      </w:pPr>
    </w:p>
    <w:bookmarkStart w:id="12" w:name="page13"/>
    <w:bookmarkEnd w:id="12"/>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Grantee’s unvested Shares been vested as of the record date of the dividend if, and only if, the Shares become vested in accordance with the terms of this Agreement. In that case, the Company (or any successor thereof) shall pay such cash amounts to the Grantee, less any required withholding taxes, at the same time the related Shares become vested. The additional payments pursuant to this provision shall be treated as a separate arrangement.</w:t>
      </w:r>
    </w:p>
    <w:p>
      <w:pPr>
        <w:spacing w:after="0" w:line="177" w:lineRule="exact"/>
        <w:rPr>
          <w:sz w:val="20"/>
          <w:szCs w:val="20"/>
          <w:color w:val="auto"/>
        </w:rPr>
      </w:pPr>
    </w:p>
    <w:p>
      <w:pPr>
        <w:ind w:right="20" w:firstLine="430"/>
        <w:spacing w:after="0" w:line="273" w:lineRule="auto"/>
        <w:tabs>
          <w:tab w:leader="none" w:pos="61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The Shares and this Restricted Stock Award are subject to (i) the Compensation Recovery provisions of the Plan and (ii) the terms of any recoupment policy currently in effect or subsequently adopted by the Company, including without limitation any such recoupment policy to implement Section 304 of the Sarbanes-Oxley Act of 2002 (“Sarbanes-Oxley”), the Dodd-Frank Wall Street Reform and Consumer Protection Act (“Dodd-Frank”) or Section 10D of the Exchange Act (or any amendment or modification of any such recoupment policy adopted by the Company) to the extent that such Shares or the value of such Shares are required to be returned to the Company pursuant to the terms of any such recoupment policy.</w:t>
      </w:r>
    </w:p>
    <w:p>
      <w:pPr>
        <w:spacing w:after="0" w:line="170" w:lineRule="exact"/>
        <w:rPr>
          <w:rFonts w:ascii="Times New Roman" w:cs="Times New Roman" w:eastAsia="Times New Roman" w:hAnsi="Times New Roman"/>
          <w:sz w:val="17"/>
          <w:szCs w:val="17"/>
          <w:color w:val="auto"/>
        </w:rPr>
      </w:pPr>
    </w:p>
    <w:p>
      <w:pPr>
        <w:ind w:right="140" w:firstLine="430"/>
        <w:spacing w:after="0" w:line="252" w:lineRule="auto"/>
        <w:tabs>
          <w:tab w:leader="none" w:pos="6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xml:space="preserve"> The granting and delivery of the Shares and any other obligations of the Company under this Award Document, shall be subject to all applicable federal, state, local and foreign laws, rules and regulations and to such approvals by any regulatory or governmental agency as may be required. Grantee satisfies the standards for employment inducement grants under NASDAQ Listing Rule 5635(c)(4) and the related guidance under NASDAQ IM 5635-1. The Award has been approved by the Company’s Compensation Committee, which is comprised solely of “independent directors” (as such term is defined in NASDAQ Listing Rule 5605(a)(2)), in order to comply with the exemption from the stockholder approval requirement for employment inducement grants provided under Rule 5635(c)(4) of the NASDAQ Listing Rules. Promptly following the grant of this Award in reliance on the foregoing exception, the Company will disclose in a press release the material terms of the grant, including the recipient of the grant and the number of Shares involved.</w:t>
      </w:r>
    </w:p>
    <w:p>
      <w:pPr>
        <w:spacing w:after="0" w:line="184" w:lineRule="exact"/>
        <w:rPr>
          <w:rFonts w:ascii="Times New Roman" w:cs="Times New Roman" w:eastAsia="Times New Roman" w:hAnsi="Times New Roman"/>
          <w:sz w:val="18"/>
          <w:szCs w:val="18"/>
          <w:color w:val="auto"/>
        </w:rPr>
      </w:pPr>
    </w:p>
    <w:p>
      <w:pPr>
        <w:ind w:firstLine="430"/>
        <w:spacing w:after="0" w:line="285" w:lineRule="auto"/>
        <w:tabs>
          <w:tab w:leader="none" w:pos="61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At all times prior to the Shares becoming vested, the Shares may not be assigned, alienated, pledged, attached, sold or otherwise transferred or encumbered by the Grantee other than by will or by the laws of descent and distribution and any such purported assignment, alienation, pledge, attachment, sale, transfer or encumbrance shall be void and unenforceable against the Company or any Affiliate (or any successor thereof).</w:t>
      </w:r>
    </w:p>
    <w:p>
      <w:pPr>
        <w:spacing w:after="0" w:line="158" w:lineRule="exact"/>
        <w:rPr>
          <w:rFonts w:ascii="Times New Roman" w:cs="Times New Roman" w:eastAsia="Times New Roman" w:hAnsi="Times New Roman"/>
          <w:sz w:val="17"/>
          <w:szCs w:val="17"/>
          <w:color w:val="auto"/>
        </w:rPr>
      </w:pPr>
    </w:p>
    <w:p>
      <w:pPr>
        <w:ind w:right="160" w:firstLine="430"/>
        <w:spacing w:after="0" w:line="262" w:lineRule="auto"/>
        <w:tabs>
          <w:tab w:leader="none" w:pos="6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the Company (or any successor thereof) contained in this Award Document may be waived in writing by the Committee. No waiver of any right hereunder by any party shall operate as a waiver of any other right, or as a waiver of the same right with respect to any subsequent occasion for its exercise, or as a waiver of any right to damages.</w:t>
      </w:r>
    </w:p>
    <w:p>
      <w:pPr>
        <w:spacing w:after="0" w:line="177" w:lineRule="exact"/>
        <w:rPr>
          <w:rFonts w:ascii="Times New Roman" w:cs="Times New Roman" w:eastAsia="Times New Roman" w:hAnsi="Times New Roman"/>
          <w:sz w:val="18"/>
          <w:szCs w:val="18"/>
          <w:color w:val="auto"/>
        </w:rPr>
      </w:pPr>
    </w:p>
    <w:p>
      <w:pPr>
        <w:ind w:right="20" w:firstLine="430"/>
        <w:spacing w:after="0" w:line="262" w:lineRule="auto"/>
        <w:tabs>
          <w:tab w:leader="none" w:pos="6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invalidity or unenforceability of any provision of this Award Document shall not affect the validity or enforceability of any other provision of this Award Document, and each other provision of this Award Document shall be severable and enforceable to the extent permitted by law.</w:t>
      </w:r>
    </w:p>
    <w:p>
      <w:pPr>
        <w:spacing w:after="0" w:line="110" w:lineRule="exact"/>
        <w:rPr>
          <w:rFonts w:ascii="Times New Roman" w:cs="Times New Roman" w:eastAsia="Times New Roman" w:hAnsi="Times New Roman"/>
          <w:sz w:val="18"/>
          <w:szCs w:val="18"/>
          <w:color w:val="auto"/>
        </w:rPr>
      </w:pPr>
    </w:p>
    <w:p>
      <w:pPr>
        <w:ind w:left="5400" w:hanging="104"/>
        <w:spacing w:after="0"/>
        <w:tabs>
          <w:tab w:leader="none" w:pos="5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880"/>
          </w:cols>
          <w:pgMar w:left="500" w:top="268" w:right="519" w:bottom="1440" w:gutter="0" w:footer="0" w:header="0"/>
        </w:sectPr>
      </w:pPr>
    </w:p>
    <w:bookmarkStart w:id="13" w:name="page14"/>
    <w:bookmarkEnd w:id="13"/>
    <w:p>
      <w:pPr>
        <w:ind w:firstLine="430"/>
        <w:spacing w:after="0" w:line="262" w:lineRule="auto"/>
        <w:tabs>
          <w:tab w:leader="none" w:pos="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Employment</w:t>
      </w:r>
      <w:r>
        <w:rPr>
          <w:rFonts w:ascii="Times New Roman" w:cs="Times New Roman" w:eastAsia="Times New Roman" w:hAnsi="Times New Roman"/>
          <w:sz w:val="18"/>
          <w:szCs w:val="18"/>
          <w:color w:val="auto"/>
        </w:rPr>
        <w:t>. Nothing in the Plan or in this Award Document shall be construed to imply or to constitute evidence of any agreement, express or implied, on the part of the Company or any Affiliate (or any successor thereof) to retain the Grantee in the employ of the Company or an Affiliate (or any successor thereof) and/or as a member of the Company’s Board of Directors or in any other capacity.</w:t>
      </w:r>
    </w:p>
    <w:p>
      <w:pPr>
        <w:spacing w:after="0" w:line="177" w:lineRule="exact"/>
        <w:rPr>
          <w:rFonts w:ascii="Times New Roman" w:cs="Times New Roman" w:eastAsia="Times New Roman" w:hAnsi="Times New Roman"/>
          <w:sz w:val="18"/>
          <w:szCs w:val="18"/>
          <w:color w:val="auto"/>
        </w:rPr>
      </w:pPr>
    </w:p>
    <w:p>
      <w:pPr>
        <w:ind w:right="380" w:firstLine="430"/>
        <w:spacing w:after="0" w:line="277" w:lineRule="auto"/>
        <w:tabs>
          <w:tab w:leader="none" w:pos="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terms of this Award Document shall be binding upon and shall inure to the benefit of the Company, its successors and assigns, the Grantee and the beneficiaries, executors, administrators and heirs of the Grantee.</w:t>
      </w:r>
    </w:p>
    <w:p>
      <w:pPr>
        <w:spacing w:after="0" w:line="163" w:lineRule="exact"/>
        <w:rPr>
          <w:rFonts w:ascii="Times New Roman" w:cs="Times New Roman" w:eastAsia="Times New Roman" w:hAnsi="Times New Roman"/>
          <w:sz w:val="18"/>
          <w:szCs w:val="18"/>
          <w:color w:val="auto"/>
        </w:rPr>
      </w:pPr>
    </w:p>
    <w:p>
      <w:pPr>
        <w:ind w:firstLine="430"/>
        <w:spacing w:after="0" w:line="255" w:lineRule="auto"/>
        <w:tabs>
          <w:tab w:leader="none" w:pos="7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Document and the Plan contain the entire agreement and understanding of the parties hereto with respect to the subject matter contained herein and supersedes all prior communications, representations and negotiations in respect thereto. In the event of a conflict between the Plan and this Award Document, the terms of the Award Document shall control. No change, modification or waiver of any provision of this Award Document shall be valid unless the same be in writing and signed by the parties hereto, except for any changes permitted without the consent of the Grantee under the Plan.</w:t>
      </w:r>
    </w:p>
    <w:p>
      <w:pPr>
        <w:spacing w:after="0" w:line="182" w:lineRule="exact"/>
        <w:rPr>
          <w:rFonts w:ascii="Times New Roman" w:cs="Times New Roman" w:eastAsia="Times New Roman" w:hAnsi="Times New Roman"/>
          <w:sz w:val="18"/>
          <w:szCs w:val="18"/>
          <w:color w:val="auto"/>
        </w:rPr>
      </w:pPr>
    </w:p>
    <w:p>
      <w:pPr>
        <w:ind w:right="120" w:firstLine="430"/>
        <w:spacing w:after="0" w:line="262" w:lineRule="auto"/>
        <w:tabs>
          <w:tab w:leader="none" w:pos="6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Document shall, except to the extent preempted by federal law,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77"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other provision of this Award Document, it is intended that payments hereunder will not be considered deferred compensation within the meaning of Section 409A of the Code. For purposes of this Agreement, all rights to payments hereunder shall be treated as rights to receive a series of separate payments and benefits to the fullest extent allowed by Section 409A of the Code. Payments hereunder are intended to satisfy either the exemption from Section 409A of the Code for “short-term deferrals” or “restricted stock.”</w:t>
      </w:r>
    </w:p>
    <w:p>
      <w:pPr>
        <w:spacing w:after="0" w:line="182" w:lineRule="exact"/>
        <w:rPr>
          <w:sz w:val="20"/>
          <w:szCs w:val="20"/>
          <w:color w:val="auto"/>
        </w:rPr>
      </w:pPr>
    </w:p>
    <w:p>
      <w:pPr>
        <w:ind w:right="20" w:firstLine="430"/>
        <w:spacing w:after="0" w:line="253" w:lineRule="auto"/>
        <w:tabs>
          <w:tab w:leader="none" w:pos="7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Acceptance and Signature</w:t>
      </w:r>
      <w:r>
        <w:rPr>
          <w:rFonts w:ascii="Times New Roman" w:cs="Times New Roman" w:eastAsia="Times New Roman" w:hAnsi="Times New Roman"/>
          <w:sz w:val="18"/>
          <w:szCs w:val="18"/>
          <w:color w:val="auto"/>
        </w:rPr>
        <w:t>. By clicking the applicable acceptance box on the Equity Edge Online website, Grantee acknowledges that the Grantee has received a copy of the Plan, has read the Plan and is familiar with its terms, and agrees to all of the terms and conditions described in this Award Document and the Plan. Such online acceptance constitutes Grantee’s electronic signature for the execution and delivery of this Agreement, which shall have the same force and effect as if Grantee manually signed this Award Document. The parties hereto may execute and deliver any additional documents in connection with this Award Document using procedures now or hereafter established by the Company (or any third party engaged by the Company to provide administrative services related to the Plan) for electronic signature and delivery.</w:t>
      </w:r>
    </w:p>
    <w:p>
      <w:pPr>
        <w:spacing w:after="0" w:line="120" w:lineRule="exact"/>
        <w:rPr>
          <w:rFonts w:ascii="Times New Roman" w:cs="Times New Roman" w:eastAsia="Times New Roman" w:hAnsi="Times New Roman"/>
          <w:sz w:val="18"/>
          <w:szCs w:val="18"/>
          <w:color w:val="auto"/>
        </w:rPr>
      </w:pPr>
    </w:p>
    <w:p>
      <w:pPr>
        <w:ind w:left="5400" w:hanging="104"/>
        <w:spacing w:after="0"/>
        <w:tabs>
          <w:tab w:leader="none" w:pos="54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840"/>
          </w:cols>
          <w:pgMar w:left="500" w:top="268" w:right="559" w:bottom="1440" w:gutter="0" w:footer="0" w:header="0"/>
        </w:sectPr>
      </w:pPr>
    </w:p>
    <w:bookmarkStart w:id="14" w:name="page15"/>
    <w:bookmarkEnd w:id="14"/>
    <w:p>
      <w:pPr>
        <w:ind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Company has caused this Award Document to be executed on its behalf by its duly-authorized officer on the day and year first indicated above.</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2765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[   ]</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680"/>
          </w:cols>
          <w:pgMar w:left="500" w:top="268" w:right="7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INDUCEMENT AWARD DOCUMENT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(Relative Total Stockholder Return)</w:t>
      </w:r>
    </w:p>
    <w:p>
      <w:pPr>
        <w:spacing w:after="0" w:line="202" w:lineRule="exact"/>
        <w:rPr>
          <w:sz w:val="20"/>
          <w:szCs w:val="20"/>
          <w:color w:val="auto"/>
        </w:rPr>
      </w:pPr>
    </w:p>
    <w:p>
      <w:pPr>
        <w:ind w:right="20" w:firstLine="436"/>
        <w:spacing w:after="0" w:line="266" w:lineRule="auto"/>
        <w:rPr>
          <w:sz w:val="20"/>
          <w:szCs w:val="20"/>
          <w:color w:val="auto"/>
        </w:rPr>
      </w:pPr>
      <w:r>
        <w:rPr>
          <w:rFonts w:ascii="Times New Roman" w:cs="Times New Roman" w:eastAsia="Times New Roman" w:hAnsi="Times New Roman"/>
          <w:sz w:val="17"/>
          <w:szCs w:val="17"/>
          <w:color w:val="auto"/>
        </w:rPr>
        <w:t>THIS PERFORMANCE-BASED RESTRICTED STOCK UNITS EMPLOYEE INDUCEMENT AWARD DOCUMENT (the “Award Document”) is hereby granted as of the “Grant Date” set forth below by Repay Holdings Corporation, a Delaware corporation (the “Company”), to the “Grantee” identified below as an inducement to Grantee’s acceptance of the Company’s offer of employment. The terms and conditions of this Performance-Based Restricted Stock Units Award are set forth in this Award Document. This Performance-Based Restricted Stock Units Award constitutes a stand-alone, non-plan “employment inducement grant” as contemplated by NASDAQ Listing Rule 5635(c)(4) and therefore is not made under or pursuant to the Repay Holdings Corporation Amended and Restated Omnibus Incentive Plan (as amended and restated effective as of April 19, 2024, the “Plan”) or any other equity compensation plan of the Company. Nevertheless, the terms and provisions of the Plan are hereby incorporated into this Award Document by this reference, as though fully set forth herein, as if this Performance-Base Restricted Stock Units Award were granted pursuant to the Plan. For the avoidance of doubt, this Award shall not be counted for purposes of calculating the aggregate number of Shares that may be issued or transferred pursuant to Awards under Section 11(a) of the Plan. A copy of the Plan has been provided to the Grantee along with this Award Document. Capitalized terms used herein shall, unless otherwise required by the context, have the meaning ascribed to such terms in the Plan.</w:t>
      </w:r>
    </w:p>
    <w:p>
      <w:pPr>
        <w:spacing w:after="0" w:line="182"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By action of the Committee, and subject to the terms of this Award Document, the Grantee is hereby granted an Award of the number of performance-based Restricted Stock Units set forth below (“PSUs”), subject in all regards to the terms of this Award Document and the Plan and to the restrictions and risks of forfeiture set forth in this Award Document.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Number of PSUs</w:t>
            </w:r>
          </w:p>
        </w:tc>
        <w:tc>
          <w:tcPr>
            <w:tcW w:w="82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8"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in this Award Document, Repay and the Grantee agree as follows: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sectPr>
      </w:pPr>
    </w:p>
    <w:bookmarkStart w:id="16" w:name="page17"/>
    <w:bookmarkEnd w:id="16"/>
    <w:p>
      <w:pPr>
        <w:ind w:left="6" w:right="40" w:firstLine="430"/>
        <w:spacing w:after="0" w:line="27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Grant</w:t>
      </w:r>
      <w:r>
        <w:rPr>
          <w:rFonts w:ascii="Times New Roman" w:cs="Times New Roman" w:eastAsia="Times New Roman" w:hAnsi="Times New Roman"/>
          <w:sz w:val="17"/>
          <w:szCs w:val="17"/>
          <w:color w:val="auto"/>
        </w:rPr>
        <w:t>. Repay hereby grants to the Grantee the PSUs set forth above, on the terms and conditions set forth in this Award Document and as otherwise set forth in the Plan, the terms of which are incorporated herein. Subject to the terms and conditions of the Plan and this Award Document, each PSU represents an unsecured promise of Repay to deliver, and the right of the Grantee to receive, one (1) share of the Common Stock of Repay, at the time and on the terms and conditions set forth herein. As a holder of PSUs, the Grantee has only the rights of a general unsecured creditor of Repay.</w:t>
      </w:r>
    </w:p>
    <w:p>
      <w:pPr>
        <w:spacing w:after="0" w:line="59" w:lineRule="exact"/>
        <w:rPr>
          <w:rFonts w:ascii="Times New Roman" w:cs="Times New Roman" w:eastAsia="Times New Roman" w:hAnsi="Times New Roman"/>
          <w:sz w:val="17"/>
          <w:szCs w:val="17"/>
          <w:color w:val="auto"/>
        </w:rPr>
      </w:pPr>
    </w:p>
    <w:p>
      <w:pPr>
        <w:ind w:left="606" w:hanging="170"/>
        <w:spacing w:after="0"/>
        <w:tabs>
          <w:tab w:leader="none" w:pos="6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6" w:firstLine="1956"/>
        <w:spacing w:after="0" w:line="252" w:lineRule="auto"/>
        <w:tabs>
          <w:tab w:leader="none" w:pos="22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Based Vesting.</w:t>
      </w:r>
      <w:r>
        <w:rPr>
          <w:rFonts w:ascii="Times New Roman" w:cs="Times New Roman" w:eastAsia="Times New Roman" w:hAnsi="Times New Roman"/>
          <w:sz w:val="18"/>
          <w:szCs w:val="18"/>
          <w:color w:val="auto"/>
        </w:rPr>
        <w:t xml:space="preserve"> Subject to the Plan and the other terms contained in this Award Document, the outstanding PSUs shall become earned, vested and payable based upon Repay’s TSR (as hereinafter defined) for the Performance Period (as hereinafter defined) compared to the TSRs of the companies included within the Relative Comparator Group (as hereinafter defined) for the Performance Period, with respect to the number of PSUs granted under this Award multiplied by the Vesting Percentage set forth in Attachment A that corresponds to the percentile rank of Repay’s TSR for the Performance Period relative to the TSRs of the other companies included within the Relative Comparator Group for the Performance Period (rounded down to the nearest whole Share), subject to the continued employment of the Grantee by Repay or an Affiliate (or any successor thereof) from the Grant Date through the last day of the Performance Period (the “Vesting Date”).</w:t>
      </w:r>
    </w:p>
    <w:p>
      <w:pPr>
        <w:spacing w:after="0" w:line="189" w:lineRule="exact"/>
        <w:rPr>
          <w:sz w:val="20"/>
          <w:szCs w:val="20"/>
          <w:color w:val="auto"/>
        </w:rPr>
      </w:pPr>
    </w:p>
    <w:p>
      <w:pPr>
        <w:ind w:left="6" w:right="80" w:firstLine="436"/>
        <w:spacing w:after="0" w:line="270" w:lineRule="auto"/>
        <w:rPr>
          <w:sz w:val="20"/>
          <w:szCs w:val="20"/>
          <w:color w:val="auto"/>
        </w:rPr>
      </w:pPr>
      <w:r>
        <w:rPr>
          <w:rFonts w:ascii="Times New Roman" w:cs="Times New Roman" w:eastAsia="Times New Roman" w:hAnsi="Times New Roman"/>
          <w:sz w:val="17"/>
          <w:szCs w:val="17"/>
          <w:color w:val="auto"/>
        </w:rPr>
        <w:t>For purposes of this Award Document, “TSR” means the return a holder of a share of common stock of the respective company earns over the Performance Period, expressed as a percentage, and including changes in Average Market Value (as hereinafter defined) of, and dividends or other distributions with respect to, a share of the common stock of the company. TSR shall be determined as the quotient obtained by dividing (1) the sum of</w:t>
      </w:r>
    </w:p>
    <w:p>
      <w:pPr>
        <w:ind w:left="6" w:right="20" w:hanging="6"/>
        <w:spacing w:after="0" w:line="248" w:lineRule="auto"/>
        <w:tabs>
          <w:tab w:leader="none" w:pos="2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Ending Average Market Value (as hereinafter defined) reduced by the Beginning Average Market Value (as hereinafter defined) plus (B) the aggregate per share dividends and other distributions with respect to a share of the common stock of the company paid during the Performance Period (with such dividends and other distributions deemed reinvested in shares of common stock of the company based on the Market Share Price (as hereinafter defined) on the date of payment where not paid in shares of common stock of the company), by (2) the Beginning Average Market Value. TSR, including the value of reinvested dividends and other distributions, shall be determined on the basis of an appropriate total shareholder return model or such other authoritative source as the Committee may determine. The Committee, as soon as practicable after the end of the Performance Period, shall determine the TSR of Repay and of each company within the Relative Comparator Group for the Performance Period. The TSR of each company within the Relative Comparator Group shall be ranked from highest to lowest. Companies within the Relative Comparator Group that file for bankruptcy or are de-listed during the Performance Period shall be assigned a negative 100% (-100%) TSR for the Performance Period. For purposes of determining the number of PSUs that are to become earned, vested and payable, the Vesting Percentage will be equal to the Vesting Percentage set forth in Attachment A that corresponds to the percentile rank of Repay’s TSR relative to the TSRs of the other companies included within the Relative Comparator Group. The Vesting Percentage will be determined by straight-line interpolation where Repay’s TSR rank falls between the quarterly percentiles; but, in no event will the Vesting Percentage exceed 200%, and none of the</w:t>
      </w:r>
    </w:p>
    <w:p>
      <w:pPr>
        <w:spacing w:after="0" w:line="12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6"/>
          </w:cols>
          <w:pgMar w:left="494" w:top="268" w:right="559" w:bottom="1440" w:gutter="0" w:footer="0" w:header="0"/>
        </w:sectPr>
      </w:pPr>
    </w:p>
    <w:bookmarkStart w:id="17" w:name="page18"/>
    <w:bookmarkEnd w:id="17"/>
    <w:p>
      <w:pPr>
        <w:ind w:left="6"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PSUs will become earned, vested and payable if the percentile rank of Repay’s TSR for the Performance Period falls below the twenty-fifth (25th) percentile. Notwithstanding any other provision of this Award Document, the Committee shall retain the authority to exercise its discretion to amend or modify the TSR methodology as described herein for purposes of determining the Vesting Percentage to be applied to the PSUs, if the use of the methodology described herein may lead to a result that inappropriately distorts Repay’s TSR rank against the other companies within the Relative Comparator Group.</w:t>
      </w:r>
    </w:p>
    <w:p>
      <w:pPr>
        <w:spacing w:after="0" w:line="183" w:lineRule="exact"/>
        <w:rPr>
          <w:sz w:val="20"/>
          <w:szCs w:val="20"/>
          <w:color w:val="auto"/>
        </w:rPr>
      </w:pPr>
    </w:p>
    <w:p>
      <w:pPr>
        <w:jc w:val="both"/>
        <w:ind w:left="6" w:right="60" w:firstLine="436"/>
        <w:spacing w:after="0" w:line="270" w:lineRule="auto"/>
        <w:rPr>
          <w:sz w:val="20"/>
          <w:szCs w:val="20"/>
          <w:color w:val="auto"/>
        </w:rPr>
      </w:pPr>
      <w:r>
        <w:rPr>
          <w:rFonts w:ascii="Times New Roman" w:cs="Times New Roman" w:eastAsia="Times New Roman" w:hAnsi="Times New Roman"/>
          <w:sz w:val="17"/>
          <w:szCs w:val="17"/>
          <w:color w:val="auto"/>
        </w:rPr>
        <w:t>For purposes of the determining the Vesting Percentage to be applied to the PSUs: (A) “Average Market Value” means the average of the closing price per share of the common stock of the company as reported by NASDAQ or such other national stock exchange or quotation system on which such company shares may be traded for the applicable twenty (20) trading days beginning or ending on the specified date, as the Committee may determine;</w:t>
      </w:r>
    </w:p>
    <w:p>
      <w:pPr>
        <w:ind w:left="6" w:right="60" w:hanging="6"/>
        <w:spacing w:after="0" w:line="262" w:lineRule="auto"/>
        <w:tabs>
          <w:tab w:leader="none" w:pos="28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Average Market Value” means the Average Market Value based on the last twenty (20) trading days ending prior to the beginning of the Performance Period; (C) “Ending Average Market Value” means the Average Market Value based on the last twenty (20) trading days of the Performance Period; (D) “Market Share Price” means the closing price per share of common stock of the company on the applicable day as reported by NASDAQ or such other national stock exchange or quotation system on which such company shares may be traded for the specified day (or the last preceding trading day thereto for which reported), as the Committee may determine; (E) “Performance Period” means the three-year period beginning on January 1, 2026 and ending on December 31, 2028; and (F) “Relative Comparator Group” means the companies included within the Russell 2000 Index on the first trading day of the Performance Period, provided that the following companies will be removed from the Relative Comparator Group:</w:t>
      </w:r>
    </w:p>
    <w:p>
      <w:pPr>
        <w:spacing w:after="0" w:line="2" w:lineRule="exact"/>
        <w:rPr>
          <w:rFonts w:ascii="Times New Roman" w:cs="Times New Roman" w:eastAsia="Times New Roman" w:hAnsi="Times New Roman"/>
          <w:sz w:val="17"/>
          <w:szCs w:val="17"/>
          <w:color w:val="auto"/>
        </w:rPr>
      </w:pPr>
    </w:p>
    <w:p>
      <w:pPr>
        <w:ind w:left="6"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any company that experiences an acquisition, merger or similar transaction during the Performance Period and is not the surviving entity; and (ii) any company taken private during the Performance Period.</w:t>
      </w:r>
    </w:p>
    <w:p>
      <w:pPr>
        <w:spacing w:after="0" w:line="75" w:lineRule="exact"/>
        <w:rPr>
          <w:rFonts w:ascii="Times New Roman" w:cs="Times New Roman" w:eastAsia="Times New Roman" w:hAnsi="Times New Roman"/>
          <w:sz w:val="17"/>
          <w:szCs w:val="17"/>
          <w:color w:val="auto"/>
        </w:rPr>
      </w:pPr>
    </w:p>
    <w:p>
      <w:pPr>
        <w:ind w:left="6" w:firstLine="975"/>
        <w:spacing w:after="0" w:line="250" w:lineRule="auto"/>
        <w:tabs>
          <w:tab w:leader="none" w:pos="123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the foregoing, if there is a Change in Control during the Performance Period and the successor to Repay does not assume or provide for a substitute for this Award of PSUs, the Grantee’s PSUs shall become earned, vested and payable as of the date of the Change in Control at that Vesting Percentage that corresponds to Repay’s TSR rank compared against the TSRs of the other companies included within the Relative Comparator Group for the portion of the Performance Period ending as of the date of the Change in Control, subject to the continued employment of the Grantee by Repay or an Affiliate (or any successor thereof) from the Grant Date until the date of the Change in Control. If there is a Change in Control during the Performance Period and the successor company assumes or provides a substitute award for this Award of PSUs, with appropriate adjustments to the number and kind of shares of stock underlying this Award of PSUs as may result from the Change in Control, this Award of PSUs shall become earned and automatically convert, as of the date of the Change in Control, into service-based restricted stock units (“RSUs”) with respect to the number and kind of shares of stock as may result from the Change in Control that relates to the Grantee’s PSUs multiplied by the Vesting Percentage that corresponds to Repay’s TSR rank compared against the TSRs of the other companies included within the Relative Comparator Group for the portion of the Performance Period ending on the date of the Change in Control, and such service-based RSUs will become vested and payable, on the Vesting Date, subject to the continued employment of the Grantee by the Company or an Affiliate (or any successor thereof) from the Grant Date through such Vesting Date.</w:t>
      </w:r>
    </w:p>
    <w:p>
      <w:pPr>
        <w:spacing w:after="0" w:line="12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8" w:right="519" w:bottom="1440" w:gutter="0" w:footer="0" w:header="0"/>
        </w:sectPr>
      </w:pPr>
    </w:p>
    <w:bookmarkStart w:id="18" w:name="page19"/>
    <w:bookmarkEnd w:id="18"/>
    <w:p>
      <w:pPr>
        <w:ind w:firstLine="975"/>
        <w:spacing w:after="0" w:line="253" w:lineRule="auto"/>
        <w:tabs>
          <w:tab w:leader="none" w:pos="12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of Employment</w:t>
      </w:r>
      <w:r>
        <w:rPr>
          <w:rFonts w:ascii="Times New Roman" w:cs="Times New Roman" w:eastAsia="Times New Roman" w:hAnsi="Times New Roman"/>
          <w:sz w:val="18"/>
          <w:szCs w:val="18"/>
          <w:color w:val="auto"/>
        </w:rPr>
        <w:t>. If, on or following a Change in Control with respect to which the successor company assumes or provides a substitute award for this Award of PSUs and the PSUs are converted into RSUs, the Grantee’s employment with Repay and its Affiliates (or any successor thereof) is terminated on or before the Vesting Date, by Repay or an Affiliate (or any successor thereof) without Cause (as hereinafter defined), by the Grantee for Good Reason (as hereinafter defined), or on account of Grantee’s death or Incapacity (as hereinafter defined), and such termination constitutes a separation from service (within the meaning of Section 409A of the Code), then the Grantee’s RSUs shall become vested and payable upon such termination of Grantee’s employment.</w:t>
      </w:r>
    </w:p>
    <w:p>
      <w:pPr>
        <w:spacing w:after="0" w:line="187"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For purposes of this Award Document, “Incapacity” shall have the same definition as under any employment agreement between the Company or an Affiliate (or any successor thereof) and the Grantee or, if no such employment agreement exists or if such employment agreement does not contain any such definition or words of similar import, “Incapacity” shall have the same meaning as “Disability” under the Plan; and “Cause” and “Good Reason” shall have the same definitions as under the Plan.</w:t>
      </w:r>
    </w:p>
    <w:p>
      <w:pPr>
        <w:spacing w:after="0" w:line="182"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7"/>
          <w:szCs w:val="17"/>
          <w:color w:val="auto"/>
        </w:rPr>
        <w:t>If, prior to a Change in Control and the Vesting Date, the Grantee’s employment with Repay and its Affiliates (or any successor thereof) is terminated by Repay or an Affiliate (or any successor thereof) without Cause, by the Grantee for Good Reason, or on account of Grantee’s death or Incapacity, and such termination constitutes a separation from service (within the meaning of Section 409A of the Code), then this Award of PSUs shall become vested with respect to the employment requirement, notwithstanding the termination of Grantee’s employment with Repay and/or its Affiliates (or any successor thereof), and shall remain eligible to become earned and payable with respect to a Pro Rata Portion (as hereinafter defined) of the Award of PSUs on the same basis that the PSUs would have become earned, vested and payable had the Grantee’s employment with Repay and/or its Affiliates (or any successor thereof) not terminated. For avoidance of doubt, if a Change in Control occurs after the termination of Grantee’s employment under the circumstances described in this paragraph and prior to the Vesting Date, (i) the Pro Rata Portion of the Grantee’s Award of PSUs shall become earned, vested and payable as of the date of the Change in Control, at the Vesting Percentage determined pursuant to Section 2(b) above, if the successor to Repay does not assume or provide for a substitute for this Award of PSUs, and (ii) the Pro Rata Portion of the Grantee’s Award of PSUs shall be converted into service-based RSUs, at the Vesting Percentage determined pursuant to Section 2(b) above, if the successor company assumes or provides a substitute award for this Award of PSUs, and shall be payable as of the Change in Control. For purposes of this Award Document, “Pro Rata Portion” means a fraction, which may not exceed one (1), the numerator of which is the number of days from and including the first day of the Performance Period through the date of termination of Grantee’s employment with Repay and/or its Affiliates (or any successor thereof) which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8" w:right="519" w:bottom="1440" w:gutter="0" w:footer="0" w:header="0"/>
        </w:sectPr>
      </w:pPr>
    </w:p>
    <w:bookmarkStart w:id="19" w:name="page20"/>
    <w:bookmarkEnd w:id="19"/>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constitutes a separation from service (within the meaning of Section 409A of the Code), plus, if applicable, the number of days after such termination of employment for which the Grantee is entitled to receive continued base salary as severance under any employment agreement between Repay or any Affiliate (or successor thereof) and the Grantee, and the denominator of which is the number of days within the Performance Period.</w:t>
      </w:r>
    </w:p>
    <w:p>
      <w:pPr>
        <w:spacing w:after="0" w:line="70" w:lineRule="exact"/>
        <w:rPr>
          <w:sz w:val="20"/>
          <w:szCs w:val="20"/>
          <w:color w:val="auto"/>
        </w:rPr>
      </w:pPr>
    </w:p>
    <w:p>
      <w:pPr>
        <w:ind w:right="20" w:firstLine="975"/>
        <w:spacing w:after="0" w:line="262" w:lineRule="auto"/>
        <w:tabs>
          <w:tab w:leader="none" w:pos="1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Shares.</w:t>
      </w:r>
      <w:r>
        <w:rPr>
          <w:rFonts w:ascii="Times New Roman" w:cs="Times New Roman" w:eastAsia="Times New Roman" w:hAnsi="Times New Roman"/>
          <w:sz w:val="18"/>
          <w:szCs w:val="18"/>
          <w:color w:val="auto"/>
        </w:rPr>
        <w:t xml:space="preserve"> Except as otherwise provided herein or in any employment agreement between Grantee and Repay or any Affiliate (or any successor thereof) or as determined by the Committee in its sole discretion, unvested PSUs shall be automatically forfeited without consideration to the Grantee upon the Grantee’s termination of employment with Repay or its Affiliates (or any successor thereto).</w:t>
      </w:r>
    </w:p>
    <w:p>
      <w:pPr>
        <w:spacing w:after="0" w:line="70" w:lineRule="exact"/>
        <w:rPr>
          <w:rFonts w:ascii="Times New Roman" w:cs="Times New Roman" w:eastAsia="Times New Roman" w:hAnsi="Times New Roman"/>
          <w:sz w:val="18"/>
          <w:szCs w:val="18"/>
          <w:color w:val="auto"/>
        </w:rPr>
      </w:pPr>
    </w:p>
    <w:p>
      <w:pPr>
        <w:ind w:right="300" w:firstLine="975"/>
        <w:spacing w:after="0" w:line="277" w:lineRule="auto"/>
        <w:tabs>
          <w:tab w:leader="none" w:pos="12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xml:space="preserve"> The Grantee shall not have any rights of a stockholder of Repay with respect to the shares of Common Stock underlying the PSUs unless and until such shares of Common Stock are issued to the Grantee.</w:t>
      </w:r>
    </w:p>
    <w:p>
      <w:pPr>
        <w:spacing w:after="0" w:line="56" w:lineRule="exact"/>
        <w:rPr>
          <w:rFonts w:ascii="Times New Roman" w:cs="Times New Roman" w:eastAsia="Times New Roman" w:hAnsi="Times New Roman"/>
          <w:sz w:val="18"/>
          <w:szCs w:val="18"/>
          <w:color w:val="auto"/>
        </w:rPr>
      </w:pPr>
    </w:p>
    <w:p>
      <w:pPr>
        <w:ind w:right="100" w:firstLine="975"/>
        <w:spacing w:after="0" w:line="262" w:lineRule="auto"/>
        <w:tabs>
          <w:tab w:leader="none" w:pos="12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the PSUs</w:t>
      </w:r>
      <w:r>
        <w:rPr>
          <w:rFonts w:ascii="Times New Roman" w:cs="Times New Roman" w:eastAsia="Times New Roman" w:hAnsi="Times New Roman"/>
          <w:sz w:val="18"/>
          <w:szCs w:val="18"/>
          <w:color w:val="auto"/>
        </w:rPr>
        <w:t>. Subject to the terms of the Plan and this Award Document, Repay shall issue to the Grantee one (1) share of Common Stock for each PSU that has become earned, vested and payable under this Section 2 of the Award Document and shall deliver to the Grantee such shares of Common Stock as soon as practicable after the Vesting Date (but in no event later than March 15, 2029).</w:t>
      </w:r>
    </w:p>
    <w:p>
      <w:pPr>
        <w:spacing w:after="0" w:line="70" w:lineRule="exact"/>
        <w:rPr>
          <w:rFonts w:ascii="Times New Roman" w:cs="Times New Roman" w:eastAsia="Times New Roman" w:hAnsi="Times New Roman"/>
          <w:sz w:val="18"/>
          <w:szCs w:val="18"/>
          <w:color w:val="auto"/>
        </w:rPr>
      </w:pPr>
    </w:p>
    <w:p>
      <w:pPr>
        <w:ind w:right="140" w:firstLine="975"/>
        <w:spacing w:after="0" w:line="252" w:lineRule="auto"/>
        <w:tabs>
          <w:tab w:leader="none" w:pos="1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for Taxes</w:t>
      </w:r>
      <w:r>
        <w:rPr>
          <w:rFonts w:ascii="Times New Roman" w:cs="Times New Roman" w:eastAsia="Times New Roman" w:hAnsi="Times New Roman"/>
          <w:sz w:val="18"/>
          <w:szCs w:val="18"/>
          <w:color w:val="auto"/>
        </w:rPr>
        <w:t>. As a condition to the settlement of the Award of PSUs, the Grantee shall be required to pay any required withholding taxes attributable to the PSUs (i) in cash or cash equivalent acceptable to the Committee, (ii) by means of a “net settlement” procedure where Repay will withhold that number of shares of Common Stock whose Fair Market Value, as of the date of the withholding, equals the amount of the tax withholdings, or (iii) any combination of the foregoing (provided the number of shares of Common Stock to be withheld may not exceed that amount which would result in adverse financial accounting consequences for Repay with respect to these PSUs). Withholding of any portion of the shares of Common Stock in connection with Repay’s withholding obligations arising on account of the settlement of the PSUs shall be deemed to be a taxable repurchase of such withheld shares of Common Stock for federal income tax purposes at the time that occurs.</w:t>
      </w:r>
    </w:p>
    <w:p>
      <w:pPr>
        <w:spacing w:after="0" w:line="81" w:lineRule="exact"/>
        <w:rPr>
          <w:rFonts w:ascii="Times New Roman" w:cs="Times New Roman" w:eastAsia="Times New Roman" w:hAnsi="Times New Roman"/>
          <w:sz w:val="18"/>
          <w:szCs w:val="18"/>
          <w:color w:val="auto"/>
        </w:rPr>
      </w:pPr>
    </w:p>
    <w:p>
      <w:pPr>
        <w:ind w:right="20" w:firstLine="975"/>
        <w:spacing w:after="0" w:line="252" w:lineRule="auto"/>
        <w:tabs>
          <w:tab w:leader="none" w:pos="1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w:t>
      </w:r>
      <w:r>
        <w:rPr>
          <w:rFonts w:ascii="Times New Roman" w:cs="Times New Roman" w:eastAsia="Times New Roman" w:hAnsi="Times New Roman"/>
          <w:sz w:val="18"/>
          <w:szCs w:val="18"/>
          <w:color w:val="auto"/>
        </w:rPr>
        <w:t>. For so long as the Grantee holds outstanding PSUs (or RSUs) under this Award, if Repay (or any successor thereof) pays any cash dividends on its common stock, then Repay (or any successor thereof) will pay the Grantee in cash for each outstanding PSU (or RSU) covered by this Award as of the record date for such dividend, less any required withholding taxes, the per share amount of such dividend that the Grantee would have received had the Grantee owned the underlying shares of common stock as of the record date of the dividend if, and only if, the PSUs (or RSUs) become earned, vested and payable and the related shares of common stock are issued to the Grantee. In that case, Repay (or any successor thereof) shall pay such cash amounts to the Grantee, less any required withholding taxes, at the same time the related shares of common stock are issued to the Grantee. The additional payments pursuant to this provision shall be treated as a separate arrangement.</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500" w:top="268" w:right="559" w:bottom="1440" w:gutter="0" w:footer="0" w:header="0"/>
        </w:sectPr>
      </w:pPr>
    </w:p>
    <w:bookmarkStart w:id="20" w:name="page21"/>
    <w:bookmarkEnd w:id="20"/>
    <w:p>
      <w:pPr>
        <w:ind w:right="60" w:firstLine="430"/>
        <w:spacing w:after="0" w:line="253" w:lineRule="auto"/>
        <w:tabs>
          <w:tab w:leader="none" w:pos="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Clawback</w:t>
      </w:r>
      <w:r>
        <w:rPr>
          <w:rFonts w:ascii="Times New Roman" w:cs="Times New Roman" w:eastAsia="Times New Roman" w:hAnsi="Times New Roman"/>
          <w:sz w:val="18"/>
          <w:szCs w:val="18"/>
          <w:color w:val="auto"/>
        </w:rPr>
        <w:t>. The PSUs (or RSUs) and any shares of Common Stock issued hereunder are subject to (i) the Compensation Recovery provisions of the Plan and (ii) the terms of any recoupment policy currently in effect or subsequently adopted by Repay, including without limitation any such recoupment policy to implement Section 304 of the Sarbanes-Oxley Act of 2002 (“Sarbanes-Oxley”), the Dodd-Frank Wall Street Reform and Consumer Protection Act (“Dodd-Frank”) or Section 10D of the Exchange Act (or any amendment or modification of any such recoupment policy adopted by Repay) to the extent that such PSUs (or RSUs) and/or any shares of Common Stock issued hereunder or the value of such PSUs (or RSUs) and/or any shares of Common Stock issued hereunder are required to be returned to Repay pursuant to the terms of such recoupment policy.</w:t>
      </w:r>
    </w:p>
    <w:p>
      <w:pPr>
        <w:spacing w:after="0" w:line="80" w:lineRule="exact"/>
        <w:rPr>
          <w:rFonts w:ascii="Times New Roman" w:cs="Times New Roman" w:eastAsia="Times New Roman" w:hAnsi="Times New Roman"/>
          <w:sz w:val="18"/>
          <w:szCs w:val="18"/>
          <w:color w:val="auto"/>
        </w:rPr>
      </w:pPr>
    </w:p>
    <w:p>
      <w:pPr>
        <w:ind w:firstLine="430"/>
        <w:spacing w:after="0" w:line="251" w:lineRule="auto"/>
        <w:tabs>
          <w:tab w:leader="none" w:pos="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xml:space="preserve"> The granting of the PSUs and the delivery of any shares of Common Stock thereunder and any other obligations of Repay under this Award Document shall be subject to all applicable federal, state, local and foreign laws, rules and regulations and to such approvals by any regulatory or governmental agency as may be required. Grantee satisfies the standards for employment inducement grants under NASDAQ Listing Rule 5635(c)(4) and the related guidance under NASDAQ IM 5635-1. The Award has been approved by the Company’s Compensation Committee, which is comprised solely of “independent directors” (as such term is defined in NASDAQ Listing Rule 5605(a)(2)), in order to comply with the exemption from the stockholder approval requirement for employment inducement grants provided under Rule 5635(c)(4) of the NASDAQ Listing Rules. Promptly following the grant of this Award in reliance on the foregoing exception, the Company will disclose in a press release the material terms of the grant, including the recipient of the grant and the number of PSUs (and number of shares of Common Stock issuable hereunder) involved.</w:t>
      </w:r>
    </w:p>
    <w:p>
      <w:pPr>
        <w:spacing w:after="0" w:line="82" w:lineRule="exact"/>
        <w:rPr>
          <w:rFonts w:ascii="Times New Roman" w:cs="Times New Roman" w:eastAsia="Times New Roman" w:hAnsi="Times New Roman"/>
          <w:sz w:val="18"/>
          <w:szCs w:val="18"/>
          <w:color w:val="auto"/>
        </w:rPr>
      </w:pPr>
    </w:p>
    <w:p>
      <w:pPr>
        <w:jc w:val="both"/>
        <w:ind w:right="300" w:firstLine="430"/>
        <w:spacing w:after="0" w:line="257" w:lineRule="auto"/>
        <w:tabs>
          <w:tab w:leader="none" w:pos="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At all times prior to the settlement of the PSUs (or RSUs), the PSUs and RSUs may not be assigned, alienated, pledged, attached, sold or otherwise transferred or encumbered by the Grantee other than by will or by the laws of descent and distribution, and any such purported assignment, alienation, pledge, attachment, sale, transfer or encumbrance shall be void and unenforceable against Repay or an Affiliate (or any successor thereof).</w:t>
      </w:r>
    </w:p>
    <w:p>
      <w:pPr>
        <w:spacing w:after="0" w:line="75" w:lineRule="exact"/>
        <w:rPr>
          <w:rFonts w:ascii="Times New Roman" w:cs="Times New Roman" w:eastAsia="Times New Roman" w:hAnsi="Times New Roman"/>
          <w:sz w:val="18"/>
          <w:szCs w:val="18"/>
          <w:color w:val="auto"/>
        </w:rPr>
      </w:pPr>
    </w:p>
    <w:p>
      <w:pPr>
        <w:ind w:right="60" w:firstLine="430"/>
        <w:spacing w:after="0" w:line="262" w:lineRule="auto"/>
        <w:tabs>
          <w:tab w:leader="none" w:pos="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Repay contained in this Award Document may be waived in writing by the Committee. No waiver of any right hereunder by any party shall operate as a waiver of any other right, or as a waiver of the same right with respect to any subsequent occasion for its exercise, or as a waiver of any right to damages.</w:t>
      </w:r>
    </w:p>
    <w:p>
      <w:pPr>
        <w:spacing w:after="0" w:line="70" w:lineRule="exact"/>
        <w:rPr>
          <w:rFonts w:ascii="Times New Roman" w:cs="Times New Roman" w:eastAsia="Times New Roman" w:hAnsi="Times New Roman"/>
          <w:sz w:val="18"/>
          <w:szCs w:val="18"/>
          <w:color w:val="auto"/>
        </w:rPr>
      </w:pPr>
    </w:p>
    <w:p>
      <w:pPr>
        <w:ind w:right="40" w:firstLine="430"/>
        <w:spacing w:after="0" w:line="262" w:lineRule="auto"/>
        <w:tabs>
          <w:tab w:leader="none" w:pos="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invalidity or unenforceability of any provision of this Award Document shall not affect the validity or enforceability of any other provision of this Award Document, and each other provision of this Award Document shall be severable and enforceable to the extent permitted by law.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8" w:right="499" w:bottom="1440" w:gutter="0" w:footer="0" w:header="0"/>
        </w:sectPr>
      </w:pPr>
    </w:p>
    <w:bookmarkStart w:id="21" w:name="page22"/>
    <w:bookmarkEnd w:id="21"/>
    <w:p>
      <w:pPr>
        <w:ind w:right="60" w:firstLine="430"/>
        <w:spacing w:after="0" w:line="262" w:lineRule="auto"/>
        <w:tabs>
          <w:tab w:leader="none" w:pos="6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Employment</w:t>
      </w:r>
      <w:r>
        <w:rPr>
          <w:rFonts w:ascii="Times New Roman" w:cs="Times New Roman" w:eastAsia="Times New Roman" w:hAnsi="Times New Roman"/>
          <w:sz w:val="18"/>
          <w:szCs w:val="18"/>
          <w:color w:val="auto"/>
        </w:rPr>
        <w:t>. Nothing in the Plan or in this Award Document shall be construed to imply or to constitute evidence of any agreement, express or implied, on the part of Repay or any Affiliate (or any successor thereof) to retain the Grantee in the employ of Repay or an Affiliate (or any successor thereof) and/or as a member of Repay’s or any successor’s Board of Directors or in any other capacity.</w:t>
      </w:r>
    </w:p>
    <w:p>
      <w:pPr>
        <w:spacing w:after="0" w:line="70" w:lineRule="exact"/>
        <w:rPr>
          <w:rFonts w:ascii="Times New Roman" w:cs="Times New Roman" w:eastAsia="Times New Roman" w:hAnsi="Times New Roman"/>
          <w:sz w:val="18"/>
          <w:szCs w:val="18"/>
          <w:color w:val="auto"/>
        </w:rPr>
      </w:pPr>
    </w:p>
    <w:p>
      <w:pPr>
        <w:ind w:right="80" w:firstLine="430"/>
        <w:spacing w:after="0" w:line="277" w:lineRule="auto"/>
        <w:tabs>
          <w:tab w:leader="none" w:pos="6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terms of this Award Document shall be binding upon and shall inure to the benefit of Repay, its successors and assigns, the Grantee and the beneficiaries, executors, administrators and heirs of the Grantee.</w:t>
      </w:r>
    </w:p>
    <w:p>
      <w:pPr>
        <w:spacing w:after="0" w:line="56" w:lineRule="exact"/>
        <w:rPr>
          <w:rFonts w:ascii="Times New Roman" w:cs="Times New Roman" w:eastAsia="Times New Roman" w:hAnsi="Times New Roman"/>
          <w:sz w:val="18"/>
          <w:szCs w:val="18"/>
          <w:color w:val="auto"/>
        </w:rPr>
      </w:pPr>
    </w:p>
    <w:p>
      <w:pPr>
        <w:ind w:right="60" w:firstLine="430"/>
        <w:spacing w:after="0" w:line="255" w:lineRule="auto"/>
        <w:tabs>
          <w:tab w:leader="none" w:pos="7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Document and the Plan contain the entire agreement and understanding of the parties hereto with respect to the subject matter contained herein and supersedes all prior communications, representations and negotiations in respect thereto. In the event of a conflict between the Plan and this Award Document, the terms of the Award Document shall control. No change, modification or waiver of any provision of this Award Document shall be valid unless the same be in writing and signed by the parties hereto, except for any changes permitted without the consent of the Grantee under the Plan.</w:t>
      </w:r>
    </w:p>
    <w:p>
      <w:pPr>
        <w:spacing w:after="0" w:line="75" w:lineRule="exact"/>
        <w:rPr>
          <w:rFonts w:ascii="Times New Roman" w:cs="Times New Roman" w:eastAsia="Times New Roman" w:hAnsi="Times New Roman"/>
          <w:sz w:val="18"/>
          <w:szCs w:val="18"/>
          <w:color w:val="auto"/>
        </w:rPr>
      </w:pPr>
    </w:p>
    <w:p>
      <w:pPr>
        <w:ind w:right="180" w:firstLine="430"/>
        <w:spacing w:after="0" w:line="262" w:lineRule="auto"/>
        <w:tabs>
          <w:tab w:leader="none" w:pos="6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Document shall, except to the extent preempted by federal law,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70" w:lineRule="exact"/>
        <w:rPr>
          <w:rFonts w:ascii="Times New Roman" w:cs="Times New Roman" w:eastAsia="Times New Roman" w:hAnsi="Times New Roman"/>
          <w:sz w:val="18"/>
          <w:szCs w:val="18"/>
          <w:color w:val="auto"/>
        </w:rPr>
      </w:pPr>
    </w:p>
    <w:p>
      <w:pPr>
        <w:ind w:firstLine="430"/>
        <w:spacing w:after="0" w:line="251" w:lineRule="auto"/>
        <w:tabs>
          <w:tab w:leader="none" w:pos="7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other provision of this Award Document, it is intended that payments hereunder will not be considered deferred compensation within the meaning of Section 409A of the Code. For purposes of this Award Document, all rights to payments hereunder shall be treated as rights to receive a series of separate payments and benefits to the fullest extent allowed by Section 409A of the Code. Payments hereunder are intended to satisfy the exemption from Section 409A of the Code for “short-term deferrals.” Notwithstanding the foregoing, should any payments made in accordance with this Award Document to a “specified employee” (as defined under Section 409A of the Code) be determined to be payments from a nonqualified deferred compensation plan subject to Section 409A of the Code that are payable in connection with the Grantee’s “separation from service” (as defined under Section 409A of the Code), and that are not exempt from Section 409A of the Code as a short-term deferral or otherwise, such payments, to the extent otherwise payable within six (6) months after the Grantee’s separation from service, and to the extent necessary to avoid the imposition of taxes under Section 409A of the Code, will be paid in a lump sum on the earlier of the date that is six (6) months and one day after the Grantee’s date of separation from service or the date of the Grantee’s death.</w:t>
      </w:r>
    </w:p>
    <w:p>
      <w:pPr>
        <w:spacing w:after="0" w:line="79" w:lineRule="exact"/>
        <w:rPr>
          <w:rFonts w:ascii="Times New Roman" w:cs="Times New Roman" w:eastAsia="Times New Roman" w:hAnsi="Times New Roman"/>
          <w:sz w:val="18"/>
          <w:szCs w:val="18"/>
          <w:color w:val="auto"/>
        </w:rPr>
      </w:pPr>
    </w:p>
    <w:p>
      <w:pPr>
        <w:ind w:right="160" w:firstLine="430"/>
        <w:spacing w:after="0" w:line="262" w:lineRule="auto"/>
        <w:tabs>
          <w:tab w:leader="none" w:pos="7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Acceptance and Signature</w:t>
      </w:r>
      <w:r>
        <w:rPr>
          <w:rFonts w:ascii="Times New Roman" w:cs="Times New Roman" w:eastAsia="Times New Roman" w:hAnsi="Times New Roman"/>
          <w:sz w:val="18"/>
          <w:szCs w:val="18"/>
          <w:color w:val="auto"/>
        </w:rPr>
        <w:t>. By clicking the applicable acceptance box on the Equity Edge Online website, Grantee acknowledges that the Grantee has received a copy of the Plan, has read the Plan and is familiar with its terms, and agrees to all of the terms and conditions described in this Award Document and the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68" w:right="499" w:bottom="1440" w:gutter="0" w:footer="0" w:header="0"/>
        </w:sectPr>
      </w:pPr>
    </w:p>
    <w:bookmarkStart w:id="22" w:name="page23"/>
    <w:bookmarkEnd w:id="22"/>
    <w:p>
      <w:pPr>
        <w:ind w:right="2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Plan. Such online acceptance constitutes Grantee’s electronic signature for the execution and delivery of this Award Document, which shall have the same force and effect as if Grantee manually signed this Award Document. The parties hereto may execute and deliver any additional documents in connection with this Award Document using procedures now or hereafter established by Repay (or any third party engaged by Repay to provide administrative services related to the Plan) for electronic signature and delivery.</w:t>
      </w:r>
    </w:p>
    <w:p>
      <w:pPr>
        <w:spacing w:after="0" w:line="182"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IN WITNESS WHEREOF, Repay has caused this Award Document to be executed on its behalf by its duly authorized officer on the day and year first indicated above.</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27654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500" w:top="268" w:right="579" w:bottom="1440" w:gutter="0" w:footer="0" w:header="0"/>
        </w:sectPr>
      </w:pPr>
    </w:p>
    <w:bookmarkStart w:id="23" w:name="page24"/>
    <w:bookmarkEnd w:id="23"/>
    <w:tbl>
      <w:tblPr>
        <w:tblLayout w:type="fixed"/>
        <w:tblInd w:w="8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60" w:type="dxa"/>
            <w:vAlign w:val="bottom"/>
            <w:gridSpan w:val="5"/>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Attachment A</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80" w:type="dxa"/>
            <w:vAlign w:val="bottom"/>
            <w:gridSpan w:val="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Performance and Vesting Percentage</w:t>
            </w:r>
          </w:p>
        </w:tc>
      </w:tr>
      <w:tr>
        <w:trPr>
          <w:trHeight w:val="383"/>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TSR</w:t>
            </w:r>
          </w:p>
        </w:tc>
        <w:tc>
          <w:tcPr>
            <w:tcW w:w="2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58"/>
        </w:trPr>
        <w:tc>
          <w:tcPr>
            <w:tcW w:w="204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00" w:type="dxa"/>
            <w:vAlign w:val="bottom"/>
            <w:gridSpan w:val="2"/>
          </w:tcPr>
          <w:p>
            <w:pPr>
              <w:jc w:val="right"/>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Vesting</w:t>
            </w:r>
          </w:p>
        </w:tc>
      </w:tr>
      <w:tr>
        <w:trPr>
          <w:trHeight w:val="160"/>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(Percentage Rank)</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02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 or Higher</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200%</w:t>
            </w:r>
          </w:p>
        </w:tc>
      </w:tr>
      <w:tr>
        <w:trPr>
          <w:trHeight w:val="214"/>
        </w:trPr>
        <w:tc>
          <w:tcPr>
            <w:tcW w:w="20" w:type="dxa"/>
            <w:vAlign w:val="bottom"/>
          </w:tcPr>
          <w:p>
            <w:pPr>
              <w:spacing w:after="0"/>
              <w:rPr>
                <w:sz w:val="18"/>
                <w:szCs w:val="18"/>
                <w:color w:val="auto"/>
              </w:rPr>
            </w:pPr>
          </w:p>
        </w:tc>
        <w:tc>
          <w:tcPr>
            <w:tcW w:w="202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Percentile</w:t>
            </w:r>
          </w:p>
        </w:tc>
        <w:tc>
          <w:tcPr>
            <w:tcW w:w="538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4"/>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Percentile</w:t>
            </w:r>
          </w:p>
        </w:tc>
        <w:tc>
          <w:tcPr>
            <w:tcW w:w="53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342"/>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w:t>
            </w:r>
          </w:p>
        </w:tc>
        <w:tc>
          <w:tcPr>
            <w:tcW w:w="538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33"/>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88"/>
              </w:rPr>
              <w:t>9</w:t>
            </w: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9019"/>
          </w:cols>
          <w:pgMar w:left="1440" w:top="253" w:right="1440"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INDUCEMENT AWARD DOCUMENT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2" w:lineRule="exact"/>
        <w:rPr>
          <w:sz w:val="20"/>
          <w:szCs w:val="20"/>
          <w:color w:val="auto"/>
        </w:rPr>
      </w:pPr>
    </w:p>
    <w:p>
      <w:pPr>
        <w:ind w:right="20" w:firstLine="436"/>
        <w:spacing w:after="0" w:line="266" w:lineRule="auto"/>
        <w:rPr>
          <w:sz w:val="20"/>
          <w:szCs w:val="20"/>
          <w:color w:val="auto"/>
        </w:rPr>
      </w:pPr>
      <w:r>
        <w:rPr>
          <w:rFonts w:ascii="Times New Roman" w:cs="Times New Roman" w:eastAsia="Times New Roman" w:hAnsi="Times New Roman"/>
          <w:sz w:val="17"/>
          <w:szCs w:val="17"/>
          <w:color w:val="auto"/>
        </w:rPr>
        <w:t>THIS PERFORMANCE-BASED RESTRICTED STOCK UNITS EMPLOYEE INDUCEMENT AWARD DOCUMENT (the “Award Document”) is hereby granted as of the “Grant Date” set forth below by Repay Holdings Corporation, a Delaware corporation (the “Company”), to the “Grantee” identified below as an inducement to Grantee’s acceptance of the Company’s offer of employment. The terms and conditions of this Performance-Based Restricted Stock Units Award are set forth in this Award Document. This Performance-Based Restricted Stock Units Award constitutes a stand-alone, non-plan “employment inducement grant” as contemplated by NASDAQ Listing Rule 5635(c)(4) and therefore is not made under or pursuant to the Repay Holdings Corporation Amended and Restated Omnibus Incentive Plan (as amended and restated effective as of April 19, 2024, the “Plan”) or any other equity compensation plan of the Company. Nevertheless, the terms and provisions of the Plan are hereby incorporated into this Award Document by this reference, as though fully set forth herein, as if this Performance-Base Restricted Stock Units Award were granted pursuant to the Plan. For the avoidance of doubt, this Award shall not be counted for purposes of calculating the aggregate number of Shares that may be issued or transferred pursuant to Awards under Section 11(a) of the Plan. A copy of the Plan has been provided to the Grantee along with this Award Document. Capitalized terms used herein shall, unless otherwise required by the context, have the meaning ascribed to such terms in the Plan.</w:t>
      </w:r>
    </w:p>
    <w:p>
      <w:pPr>
        <w:spacing w:after="0" w:line="182"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By action of the Committee, and subject to the terms of this Award Document, the Grantee is hereby granted an Award of the number of performance-based Restricted Stock Units set forth below (“PSUs”), subject in all regards to the terms of this Award Document and the Plan and to the restrictions and risks of forfeiture set forth in this Award Document.</w:t>
      </w:r>
    </w:p>
    <w:p>
      <w:pPr>
        <w:sectPr>
          <w:pgSz w:w="11900" w:h="16838" w:orient="portrait"/>
          <w:cols w:equalWidth="0" w:num="1">
            <w:col w:w="10900"/>
          </w:cols>
          <w:pgMar w:left="500" w:top="117" w:right="49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w:t>
      </w:r>
    </w:p>
    <w:p>
      <w:pPr>
        <w:spacing w:after="0" w:line="125" w:lineRule="exact"/>
        <w:rPr>
          <w:sz w:val="20"/>
          <w:szCs w:val="20"/>
          <w:color w:val="auto"/>
        </w:rPr>
      </w:pPr>
    </w:p>
    <w:p>
      <w:pPr>
        <w:sectPr>
          <w:pgSz w:w="11900" w:h="16838" w:orient="portrait"/>
          <w:cols w:equalWidth="0" w:num="2">
            <w:col w:w="920" w:space="720"/>
            <w:col w:w="926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w:t>
      </w:r>
    </w:p>
    <w:p>
      <w:pPr>
        <w:spacing w:after="0" w:line="125" w:lineRule="exact"/>
        <w:rPr>
          <w:sz w:val="20"/>
          <w:szCs w:val="20"/>
          <w:color w:val="auto"/>
        </w:rPr>
      </w:pPr>
    </w:p>
    <w:p>
      <w:pPr>
        <w:sectPr>
          <w:pgSz w:w="11900" w:h="16838" w:orient="portrait"/>
          <w:cols w:equalWidth="0" w:num="2">
            <w:col w:w="920" w:space="720"/>
            <w:col w:w="9260"/>
          </w:cols>
          <w:pgMar w:left="50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w:t>
      </w:r>
    </w:p>
    <w:p>
      <w:pPr>
        <w:spacing w:after="0" w:line="200" w:lineRule="exact"/>
        <w:rPr>
          <w:sz w:val="20"/>
          <w:szCs w:val="20"/>
          <w:color w:val="auto"/>
        </w:rPr>
      </w:pPr>
    </w:p>
    <w:p>
      <w:pPr>
        <w:sectPr>
          <w:pgSz w:w="11900" w:h="16838" w:orient="portrait"/>
          <w:cols w:equalWidth="0" w:num="2">
            <w:col w:w="1220" w:space="420"/>
            <w:col w:w="9260"/>
          </w:cols>
          <w:pgMar w:left="500" w:top="117" w:right="499" w:bottom="1440" w:gutter="0" w:footer="0" w:header="0"/>
          <w:type w:val="continuous"/>
        </w:sectPr>
      </w:pPr>
    </w:p>
    <w:p>
      <w:pPr>
        <w:spacing w:after="0" w:line="32" w:lineRule="exact"/>
        <w:rPr>
          <w:sz w:val="20"/>
          <w:szCs w:val="20"/>
          <w:color w:val="auto"/>
        </w:rPr>
      </w:pPr>
    </w:p>
    <w:p>
      <w:pPr>
        <w:ind w:right="40" w:firstLine="436"/>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in this Award Document, Repay and the Grantee agree as follows: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type w:val="continuous"/>
        </w:sectPr>
      </w:pPr>
    </w:p>
    <w:bookmarkStart w:id="25" w:name="page26"/>
    <w:bookmarkEnd w:id="25"/>
    <w:p>
      <w:pPr>
        <w:ind w:left="-20" w:right="60" w:firstLine="430"/>
        <w:spacing w:after="0" w:line="277" w:lineRule="auto"/>
        <w:tabs>
          <w:tab w:leader="none" w:pos="59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Grant</w:t>
      </w:r>
      <w:r>
        <w:rPr>
          <w:rFonts w:ascii="Times New Roman" w:cs="Times New Roman" w:eastAsia="Times New Roman" w:hAnsi="Times New Roman"/>
          <w:sz w:val="17"/>
          <w:szCs w:val="17"/>
          <w:color w:val="auto"/>
        </w:rPr>
        <w:t>. Repay hereby grants to the Grantee the PSUs set forth above, on the terms and conditions set forth in this Award Document and as otherwise set forth in the Plan, the terms of which are incorporated herein. Subject to the terms and conditions of the Plan and this Award Document, each PSU represents an unsecured promise of Repay to deliver, and the right of the Grantee to receive, one (1) share of the Common Stock of Repay, at the time and on the terms and conditions set forth herein. As a holder of PSUs, the Grantee has only the rights of a general unsecured creditor of Repay.</w:t>
      </w:r>
    </w:p>
    <w:p>
      <w:pPr>
        <w:spacing w:after="0" w:line="59" w:lineRule="exact"/>
        <w:rPr>
          <w:rFonts w:ascii="Times New Roman" w:cs="Times New Roman" w:eastAsia="Times New Roman" w:hAnsi="Times New Roman"/>
          <w:sz w:val="17"/>
          <w:szCs w:val="17"/>
          <w:color w:val="auto"/>
        </w:rPr>
      </w:pPr>
    </w:p>
    <w:p>
      <w:pPr>
        <w:ind w:left="580" w:hanging="170"/>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20" w:firstLine="975"/>
        <w:spacing w:after="0" w:line="253" w:lineRule="auto"/>
        <w:tabs>
          <w:tab w:leader="none" w:pos="12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Based Vesting.</w:t>
      </w:r>
      <w:r>
        <w:rPr>
          <w:rFonts w:ascii="Times New Roman" w:cs="Times New Roman" w:eastAsia="Times New Roman" w:hAnsi="Times New Roman"/>
          <w:sz w:val="18"/>
          <w:szCs w:val="18"/>
          <w:color w:val="auto"/>
        </w:rPr>
        <w:t xml:space="preserve"> Subject to the Plan and the other terms contained in this Award Document, the outstanding PSUs shall become earned, vested and payable based upon the growth of Repay’s Adjusted EBITDA (as hereinafter defined) during each Fiscal Year (as hereinafter defined) within the Performance Period (as hereinafter defined), with respect to the number of PSUs granted under this Award multiplied by the Vesting Percentage (as hereinafter defined) as determined pursuant to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(rounded down to the nearest whole Share), subject to the continued employment of the Grantee by Repay or an Affiliate (or any successor thereof) from the Grant Date through the last day of the Performance Period (the “Vesting Date”).</w:t>
      </w:r>
    </w:p>
    <w:p>
      <w:pPr>
        <w:spacing w:after="0" w:line="80" w:lineRule="exact"/>
        <w:rPr>
          <w:rFonts w:ascii="Times New Roman" w:cs="Times New Roman" w:eastAsia="Times New Roman" w:hAnsi="Times New Roman"/>
          <w:sz w:val="18"/>
          <w:szCs w:val="18"/>
          <w:color w:val="auto"/>
        </w:rPr>
      </w:pPr>
    </w:p>
    <w:p>
      <w:pPr>
        <w:ind w:left="-20" w:right="20" w:firstLine="975"/>
        <w:spacing w:after="0" w:line="250" w:lineRule="auto"/>
        <w:tabs>
          <w:tab w:leader="none" w:pos="12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the foregoing, if there is a Change in Control during the Performance Period and the successor to Repay does not assume or provide for a substitute for this Award of PSUs, the Grantee’s PSUs shall become earned, vested and payable as of the date of the Change in Control at that Vesting Percentage that would result if the Adjusted EBITDA Achievement Percentage for each Fiscal Year during the Performance Period were achieved at the Target level (notwithstanding that the Change in Control occurs during the Performance Period), subject to the continued employment of the Grantee by Repay or an Affiliate (or any successor thereof) from the Grant Date until the date of the Change in Control. If there is a Change in Control during the Performance Period and the successor company assumes or provides a substitute award for this Award of PSUs, with appropriate adjustments to the number and kind of shares of stock underlying this Award of PSUs as may result from the Change in Control, this Award of PSUs shall become earned and automatically convert, as of the date of the Change in Control, into service-based restricted stock units (“RSUs”) with respect to the number and kind of shares of stock as may result from the Change in Control that relates to the Grantee’s PSUs multiplied by the Vesting Percentage that would result if the Adjusted EBITDA Achievement Percentage for each Fiscal Year during the Performance Period were achieved at the Target level (notwithstanding that the Change in Control occurs during the Performance Period), and such service-based RSUs will become vested and payable, on the Vesting Date, subject to the continued employment of the Grantee by the Company or an Affiliate (or any successor thereof) from the Grant Date through such Vesting Date (except as set forth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268" w:right="539" w:bottom="1440" w:gutter="0" w:footer="0" w:header="0"/>
        </w:sectPr>
      </w:pPr>
    </w:p>
    <w:bookmarkStart w:id="26" w:name="page27"/>
    <w:bookmarkEnd w:id="26"/>
    <w:p>
      <w:pPr>
        <w:ind w:firstLine="975"/>
        <w:spacing w:after="0" w:line="253" w:lineRule="auto"/>
        <w:tabs>
          <w:tab w:leader="none" w:pos="12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of Employment</w:t>
      </w:r>
      <w:r>
        <w:rPr>
          <w:rFonts w:ascii="Times New Roman" w:cs="Times New Roman" w:eastAsia="Times New Roman" w:hAnsi="Times New Roman"/>
          <w:sz w:val="18"/>
          <w:szCs w:val="18"/>
          <w:color w:val="auto"/>
        </w:rPr>
        <w:t>. If, on or following a Change in Control with respect to which the successor company assumes or provides a substitute award for this Award of PSUs and the PSUs are converted into RSUs, the Grantee’s employment with Repay and its Affiliates (or any successor thereof) is terminated on or before the Vesting Date, by Repay or an Affiliate (or any successor thereof) without Cause (as hereinafter defined), by the Grantee for Good Reason (as hereinafter defined), or on account of Grantee’s death or Incapacity (as hereinafter defined), and such termination constitutes a separation from service (within the meaning of Section 409A of the Code), then the Grantee’s RSUs shall become vested and payable upon such termination of Grantee’s employment.</w:t>
      </w:r>
    </w:p>
    <w:p>
      <w:pPr>
        <w:spacing w:after="0" w:line="187"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For purposes of this Award Document, “Incapacity” shall have the same definition as under any employment agreement between the Company or an Affiliate (or any successor thereof) and the Grantee or, if no such employment agreement exists or if such employment agreement does not contain any such definition or words of similar import, “Incapacity” shall have the same meaning as “Disability” under the Plan; and “Cause” and “Good Reason” shall have the same definitions as under the Plan.</w:t>
      </w:r>
    </w:p>
    <w:p>
      <w:pPr>
        <w:spacing w:after="0" w:line="182" w:lineRule="exact"/>
        <w:rPr>
          <w:sz w:val="20"/>
          <w:szCs w:val="20"/>
          <w:color w:val="auto"/>
        </w:rPr>
      </w:pPr>
    </w:p>
    <w:p>
      <w:pPr>
        <w:ind w:right="80" w:firstLine="436"/>
        <w:spacing w:after="0" w:line="249" w:lineRule="auto"/>
        <w:rPr>
          <w:sz w:val="20"/>
          <w:szCs w:val="20"/>
          <w:color w:val="auto"/>
        </w:rPr>
      </w:pPr>
      <w:r>
        <w:rPr>
          <w:rFonts w:ascii="Times New Roman" w:cs="Times New Roman" w:eastAsia="Times New Roman" w:hAnsi="Times New Roman"/>
          <w:sz w:val="18"/>
          <w:szCs w:val="18"/>
          <w:color w:val="auto"/>
        </w:rPr>
        <w:t>If, prior to a Change in Control and the Vesting Date, the Grantee’s employment with Repay and its Affiliates (or any successor thereof) is terminated by Repay or an Affiliate (or any successor thereof) without Cause, by the Grantee for Good Reason, or on account of Grantee’s death or Incapacity, and such termination constitutes a separation from service (within the meaning of Section 409A of the Code), then this Award of PSUs shall become vested with respect to the employment requirement, notwithstanding the termination of Grantee’s employment with Repay and/or its Affiliates (or any successor thereof), and shall remain eligible to become earned and payable with respect to a Pro Rata Portion (as hereinafter defined) of the Award of PSUs on the same basis that the PSUs would have become earned, vested and payable had the Grantee’s employment with Repay and/or its Affiliates (or any successor thereof) not terminated. For avoidance of doubt, if a Change in Control occurs after the termination of Grantee’s employment under the circumstances described in this paragraph and prior to the Vesting Date, (i) the Pro Rata Portion of the Grantee’s Award of PSUs shall become earned, vested and payable as of the date of the Change in Control, at the Target level as described above, if the successor to Repay does not assume or provide for a substitute for this Award of PSUs, and (ii) the Pro Rata Portion of the Grantee’s Award of PSUs shall be converted into service-based RSUs, at the Target level as described above, if the successor company assumes or provides a substitute award for this Award of PSUs, and shall be payable as of the Change in Control. For purposes of this Award Document, “Pro Rata Portion” means a fraction, which may not exceed one (1), the numerator of which is the number of days from and including the first day of the Performance Period through the date of termination of Grantee’s employment with Repay and/or its Affiliates (or any successor thereof) which constitutes a separation from service (within the meaning of Section 409A of the Code), plus, if applicable, the number of days after such termination of employment for which the Grantee is entitled to receive continued base salary as severance under any employment agreement between Repay or any Affiliate (or successor thereof) and the Grantee, and the denominator of which is the number of days within the Performance Period.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27" w:name="page28"/>
    <w:bookmarkEnd w:id="27"/>
    <w:p>
      <w:pPr>
        <w:ind w:left="-20" w:right="40" w:firstLine="975"/>
        <w:spacing w:after="0" w:line="262" w:lineRule="auto"/>
        <w:tabs>
          <w:tab w:leader="none" w:pos="12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Forfeiture of Unvested Shares.</w:t>
      </w:r>
      <w:r>
        <w:rPr>
          <w:rFonts w:ascii="Times New Roman" w:cs="Times New Roman" w:eastAsia="Times New Roman" w:hAnsi="Times New Roman"/>
          <w:sz w:val="18"/>
          <w:szCs w:val="18"/>
          <w:color w:val="auto"/>
        </w:rPr>
        <w:t xml:space="preserve"> Except as otherwise provided herein or in any employment agreement between Grantee and Repay or any Affiliate (or any successor thereof) or as determined by the Committee in its sole discretion, unvested PSUs shall be automatically forfeited without consideration to the Grantee upon the Grantee’s termination of employment with Repay or its Affiliates (or any successor thereto).</w:t>
      </w:r>
    </w:p>
    <w:p>
      <w:pPr>
        <w:spacing w:after="0" w:line="70" w:lineRule="exact"/>
        <w:rPr>
          <w:rFonts w:ascii="Times New Roman" w:cs="Times New Roman" w:eastAsia="Times New Roman" w:hAnsi="Times New Roman"/>
          <w:sz w:val="18"/>
          <w:szCs w:val="18"/>
          <w:color w:val="auto"/>
        </w:rPr>
      </w:pPr>
    </w:p>
    <w:p>
      <w:pPr>
        <w:ind w:left="-20" w:right="320" w:firstLine="975"/>
        <w:spacing w:after="0" w:line="277" w:lineRule="auto"/>
        <w:tabs>
          <w:tab w:leader="none" w:pos="12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xml:space="preserve"> The Grantee shall not have any rights of a stockholder of Repay with respect to the shares of Common Stock underlying the PSUs unless and until such shares of Common Stock are issued to the Grantee.</w:t>
      </w:r>
    </w:p>
    <w:p>
      <w:pPr>
        <w:spacing w:after="0" w:line="56" w:lineRule="exact"/>
        <w:rPr>
          <w:rFonts w:ascii="Times New Roman" w:cs="Times New Roman" w:eastAsia="Times New Roman" w:hAnsi="Times New Roman"/>
          <w:sz w:val="18"/>
          <w:szCs w:val="18"/>
          <w:color w:val="auto"/>
        </w:rPr>
      </w:pPr>
    </w:p>
    <w:p>
      <w:pPr>
        <w:ind w:left="-20" w:firstLine="975"/>
        <w:spacing w:after="0" w:line="271" w:lineRule="auto"/>
        <w:tabs>
          <w:tab w:leader="none" w:pos="118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the PSUs</w:t>
      </w:r>
      <w:r>
        <w:rPr>
          <w:rFonts w:ascii="Times New Roman" w:cs="Times New Roman" w:eastAsia="Times New Roman" w:hAnsi="Times New Roman"/>
          <w:sz w:val="17"/>
          <w:szCs w:val="17"/>
          <w:color w:val="auto"/>
        </w:rPr>
        <w:t>. Subject to the terms of the Plan and this Award Document, Repay shall issue to the Grantee one (1) share of Common Stock for each PSU that has become earned, vested and payable under this Section 2 of the Award Document and shall deliver to the Grantee such shares of Common Stock as soon as practicable after the Vesting Date (but in no event earlier than January 1, 2029 or later than March 15, 2029) (subject to earlier payment on (i) a Change in Control as described above, in which event payment shall be made as soon as practicable, but no later than thirty (30) days, after the Change in Control, or (ii) a termination of the Grantee’s employment on or following a Change in Control, as described above, in which event payment shall be made as soon as practicable, but no later than thirty (30) days, after the termination of the Grantee’s employment).</w:t>
      </w:r>
    </w:p>
    <w:p>
      <w:pPr>
        <w:spacing w:after="0" w:line="64" w:lineRule="exact"/>
        <w:rPr>
          <w:rFonts w:ascii="Times New Roman" w:cs="Times New Roman" w:eastAsia="Times New Roman" w:hAnsi="Times New Roman"/>
          <w:sz w:val="17"/>
          <w:szCs w:val="17"/>
          <w:color w:val="auto"/>
        </w:rPr>
      </w:pPr>
    </w:p>
    <w:p>
      <w:pPr>
        <w:ind w:left="-20" w:right="160" w:firstLine="975"/>
        <w:spacing w:after="0" w:line="252" w:lineRule="auto"/>
        <w:tabs>
          <w:tab w:leader="none" w:pos="12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for Taxes</w:t>
      </w:r>
      <w:r>
        <w:rPr>
          <w:rFonts w:ascii="Times New Roman" w:cs="Times New Roman" w:eastAsia="Times New Roman" w:hAnsi="Times New Roman"/>
          <w:sz w:val="18"/>
          <w:szCs w:val="18"/>
          <w:color w:val="auto"/>
        </w:rPr>
        <w:t>. As a condition to the settlement of the Award of PSUs, the Grantee shall be required to pay any required withholding taxes attributable to the PSUs (i) in cash or cash equivalent acceptable to the Committee, (ii) by means of a “net settlement” procedure where Repay will withhold that number of shares of Common Stock whose Fair Market Value, as of the date of the withholding, equals the amount of the tax withholdings, or (iii) any combination of the foregoing (provided the number of shares of Common Stock to be withheld may not exceed that amount which would result in adverse financial accounting consequences for Repay with respect to these PSUs). Withholding of any portion of the shares of Common Stock in connection with Repay’s withholding obligations arising on account of the settlement of the PSUs shall be deemed to be a taxable repurchase of such withheld shares of Common Stock for federal income tax purposes at the time that occurs.</w:t>
      </w:r>
    </w:p>
    <w:p>
      <w:pPr>
        <w:spacing w:after="0" w:line="81" w:lineRule="exact"/>
        <w:rPr>
          <w:rFonts w:ascii="Times New Roman" w:cs="Times New Roman" w:eastAsia="Times New Roman" w:hAnsi="Times New Roman"/>
          <w:sz w:val="18"/>
          <w:szCs w:val="18"/>
          <w:color w:val="auto"/>
        </w:rPr>
      </w:pPr>
    </w:p>
    <w:p>
      <w:pPr>
        <w:ind w:left="-20" w:right="40" w:firstLine="975"/>
        <w:spacing w:after="0" w:line="252" w:lineRule="auto"/>
        <w:tabs>
          <w:tab w:leader="none" w:pos="12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w:t>
      </w:r>
      <w:r>
        <w:rPr>
          <w:rFonts w:ascii="Times New Roman" w:cs="Times New Roman" w:eastAsia="Times New Roman" w:hAnsi="Times New Roman"/>
          <w:sz w:val="18"/>
          <w:szCs w:val="18"/>
          <w:color w:val="auto"/>
        </w:rPr>
        <w:t>. For so long as the Grantee holds outstanding PSUs (or RSUs) under this Award, if Repay (or any successor thereof) pays any cash dividends on its common stock, then Repay (or any successor thereof) will pay the Grantee in cash for each outstanding PSU (or RSU) covered by this Award as of the record date for such dividend, less any required withholding taxes, the per share amount of such dividend that the Grantee would have received had the Grantee owned the underlying shares of common stock as of the record date of the dividend if, and only if, the PSUs (or RSUs) become earned, vested and payable and the related shares of common stock are issued to the Grantee. In that case, Repay (or any successor thereof) shall pay such cash amounts to the Grantee, less any required withholding taxes, at the same time the related shares of common stock are issued to the Grantee. The additional payments pursuant to this provision shall be treated as a separate arrangement.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520" w:top="268" w:right="539" w:bottom="1440" w:gutter="0" w:footer="0" w:header="0"/>
        </w:sectPr>
      </w:pPr>
    </w:p>
    <w:bookmarkStart w:id="28" w:name="page29"/>
    <w:bookmarkEnd w:id="28"/>
    <w:p>
      <w:pPr>
        <w:ind w:right="60" w:firstLine="430"/>
        <w:spacing w:after="0" w:line="253" w:lineRule="auto"/>
        <w:tabs>
          <w:tab w:leader="none" w:pos="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Clawback</w:t>
      </w:r>
      <w:r>
        <w:rPr>
          <w:rFonts w:ascii="Times New Roman" w:cs="Times New Roman" w:eastAsia="Times New Roman" w:hAnsi="Times New Roman"/>
          <w:sz w:val="18"/>
          <w:szCs w:val="18"/>
          <w:color w:val="auto"/>
        </w:rPr>
        <w:t>. The PSUs (or RSUs) and any shares of Common Stock issued hereunder are subject to (i) the Compensation Recovery provisions of the Plan and (ii) the terms of any recoupment policy currently in effect or subsequently adopted by Repay, including without limitation any such recoupment policy to implement Section 304 of the Sarbanes-Oxley Act of 2002 (“Sarbanes-Oxley”), the Dodd-Frank Wall Street Reform and Consumer Protection Act (“Dodd-Frank”) or Section 10D of the Exchange Act (or any amendment or modification of any such recoupment policy adopted by Repay) to the extent that such PSUs (or RSUs) and/or any shares of Common Stock issued hereunder or the value of such PSUs (or RSUs) and/or any shares of Common Stock issued hereunder are required to be returned to Repay pursuant to the terms of such recoupment policy.</w:t>
      </w:r>
    </w:p>
    <w:p>
      <w:pPr>
        <w:spacing w:after="0" w:line="80" w:lineRule="exact"/>
        <w:rPr>
          <w:rFonts w:ascii="Times New Roman" w:cs="Times New Roman" w:eastAsia="Times New Roman" w:hAnsi="Times New Roman"/>
          <w:sz w:val="18"/>
          <w:szCs w:val="18"/>
          <w:color w:val="auto"/>
        </w:rPr>
      </w:pPr>
    </w:p>
    <w:p>
      <w:pPr>
        <w:ind w:firstLine="430"/>
        <w:spacing w:after="0" w:line="251" w:lineRule="auto"/>
        <w:tabs>
          <w:tab w:leader="none" w:pos="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xml:space="preserve"> The granting of the PSUs and the delivery of any shares of Common Stock thereunder and any other obligations of Repay under this Award Document shall be subject to all applicable federal, state, local and foreign laws, rules and regulations and to such approvals by any regulatory or governmental agency as may be required. Grantee satisfies the standards for employment inducement grants under NASDAQ Listing Rule 5635(c)(4) and the related guidance under NASDAQ IM 5635-1. The Award has been approved by the Company’s Compensation Committee, which is comprised solely of “independent directors” (as such term is defined in NASDAQ Listing Rule 5605(a)(2)), in order to comply with the exemption from the stockholder approval requirement for employment inducement grants provided under Rule 5635(c)(4) of the NASDAQ Listing Rules. Promptly following the grant of this Award in reliance on the foregoing exception, the Company will disclose in a press release the material terms of the grant, including the recipient of the grant and the number of PSUs (and number of shares of Common Stock issuable hereunder) involved.</w:t>
      </w:r>
    </w:p>
    <w:p>
      <w:pPr>
        <w:spacing w:after="0" w:line="82" w:lineRule="exact"/>
        <w:rPr>
          <w:rFonts w:ascii="Times New Roman" w:cs="Times New Roman" w:eastAsia="Times New Roman" w:hAnsi="Times New Roman"/>
          <w:sz w:val="18"/>
          <w:szCs w:val="18"/>
          <w:color w:val="auto"/>
        </w:rPr>
      </w:pPr>
    </w:p>
    <w:p>
      <w:pPr>
        <w:jc w:val="both"/>
        <w:ind w:right="300" w:firstLine="430"/>
        <w:spacing w:after="0" w:line="257" w:lineRule="auto"/>
        <w:tabs>
          <w:tab w:leader="none" w:pos="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At all times prior to the settlement of the PSUs (or RSUs), the PSUs and RSUs may not be assigned, alienated, pledged, attached, sold or otherwise transferred or encumbered by the Grantee other than by will or by the laws of descent and distribution, and any such purported assignment, alienation, pledge, attachment, sale, transfer or encumbrance shall be void and unenforceable against Repay or an Affiliate (or any successor thereof).</w:t>
      </w:r>
    </w:p>
    <w:p>
      <w:pPr>
        <w:spacing w:after="0" w:line="75" w:lineRule="exact"/>
        <w:rPr>
          <w:rFonts w:ascii="Times New Roman" w:cs="Times New Roman" w:eastAsia="Times New Roman" w:hAnsi="Times New Roman"/>
          <w:sz w:val="18"/>
          <w:szCs w:val="18"/>
          <w:color w:val="auto"/>
        </w:rPr>
      </w:pPr>
    </w:p>
    <w:p>
      <w:pPr>
        <w:ind w:right="60" w:firstLine="430"/>
        <w:spacing w:after="0" w:line="262" w:lineRule="auto"/>
        <w:tabs>
          <w:tab w:leader="none" w:pos="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Repay contained in this Award Document may be waived in writing by the Committee. No waiver of any right hereunder by any party shall operate as a waiver of any other right, or as a waiver of the same right with respect to any subsequent occasion for its exercise, or as a waiver of any right to damages.</w:t>
      </w:r>
    </w:p>
    <w:p>
      <w:pPr>
        <w:spacing w:after="0" w:line="70" w:lineRule="exact"/>
        <w:rPr>
          <w:rFonts w:ascii="Times New Roman" w:cs="Times New Roman" w:eastAsia="Times New Roman" w:hAnsi="Times New Roman"/>
          <w:sz w:val="18"/>
          <w:szCs w:val="18"/>
          <w:color w:val="auto"/>
        </w:rPr>
      </w:pPr>
    </w:p>
    <w:p>
      <w:pPr>
        <w:ind w:right="40" w:firstLine="430"/>
        <w:spacing w:after="0" w:line="262" w:lineRule="auto"/>
        <w:tabs>
          <w:tab w:leader="none" w:pos="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invalidity or unenforceability of any provision of this Award Document shall not affect the validity or enforceability of any other provision of this Award Document, and each other provision of this Award Document shall be severable and enforceable to the extent permitted by law.</w:t>
      </w:r>
    </w:p>
    <w:p>
      <w:pPr>
        <w:spacing w:after="0" w:line="70" w:lineRule="exact"/>
        <w:rPr>
          <w:rFonts w:ascii="Times New Roman" w:cs="Times New Roman" w:eastAsia="Times New Roman" w:hAnsi="Times New Roman"/>
          <w:sz w:val="18"/>
          <w:szCs w:val="18"/>
          <w:color w:val="auto"/>
        </w:rPr>
      </w:pPr>
    </w:p>
    <w:p>
      <w:pPr>
        <w:ind w:right="60" w:firstLine="430"/>
        <w:spacing w:after="0" w:line="262" w:lineRule="auto"/>
        <w:tabs>
          <w:tab w:leader="none" w:pos="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Nothing in the Plan or in this Award Document shall be construed to imply or to constitute evidence of any agreement, express or implied, on the part of Repay or any Affiliate (or any successor thereof) to retain the Grantee in the employ of Repay or an Affiliate (or any successor thereof) and/or as a member of Repay’s or any successor’s Board of Directors or in any other capacity.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8" w:right="499" w:bottom="1440" w:gutter="0" w:footer="0" w:header="0"/>
        </w:sectPr>
      </w:pPr>
    </w:p>
    <w:bookmarkStart w:id="29" w:name="page30"/>
    <w:bookmarkEnd w:id="29"/>
    <w:p>
      <w:pPr>
        <w:ind w:right="60" w:firstLine="430"/>
        <w:spacing w:after="0" w:line="277" w:lineRule="auto"/>
        <w:tabs>
          <w:tab w:leader="none" w:pos="6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Binding Effect</w:t>
      </w:r>
      <w:r>
        <w:rPr>
          <w:rFonts w:ascii="Times New Roman" w:cs="Times New Roman" w:eastAsia="Times New Roman" w:hAnsi="Times New Roman"/>
          <w:sz w:val="18"/>
          <w:szCs w:val="18"/>
          <w:color w:val="auto"/>
        </w:rPr>
        <w:t>. The terms of this Award Document shall be binding upon and shall inure to the benefit of Repay, its successors and assigns, the Grantee and the beneficiaries, executors, administrators and heirs of the Grantee.</w:t>
      </w:r>
    </w:p>
    <w:p>
      <w:pPr>
        <w:spacing w:after="0" w:line="56" w:lineRule="exact"/>
        <w:rPr>
          <w:rFonts w:ascii="Times New Roman" w:cs="Times New Roman" w:eastAsia="Times New Roman" w:hAnsi="Times New Roman"/>
          <w:sz w:val="18"/>
          <w:szCs w:val="18"/>
          <w:color w:val="auto"/>
        </w:rPr>
      </w:pPr>
    </w:p>
    <w:p>
      <w:pPr>
        <w:ind w:right="40" w:firstLine="430"/>
        <w:spacing w:after="0" w:line="255" w:lineRule="auto"/>
        <w:tabs>
          <w:tab w:leader="none" w:pos="7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Document and the Plan contain the entire agreement and understanding of the parties hereto with respect to the subject matter contained herein and supersedes all prior communications, representations and negotiations in respect thereto. In the event of a conflict between the Plan and this Award Document, the terms of the Plan shall control. No change, modification or waiver of any provision of this Award Document shall be valid unless the same be in writing and signed by the parties hereto, except for any changes permitted without consent of the Grantee under the Plan.</w:t>
      </w:r>
    </w:p>
    <w:p>
      <w:pPr>
        <w:spacing w:after="0" w:line="75" w:lineRule="exact"/>
        <w:rPr>
          <w:rFonts w:ascii="Times New Roman" w:cs="Times New Roman" w:eastAsia="Times New Roman" w:hAnsi="Times New Roman"/>
          <w:sz w:val="18"/>
          <w:szCs w:val="18"/>
          <w:color w:val="auto"/>
        </w:rPr>
      </w:pPr>
    </w:p>
    <w:p>
      <w:pPr>
        <w:ind w:right="160" w:firstLine="430"/>
        <w:spacing w:after="0" w:line="262" w:lineRule="auto"/>
        <w:tabs>
          <w:tab w:leader="none" w:pos="6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Document shall, except to the extent preempted by federal law,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70" w:lineRule="exact"/>
        <w:rPr>
          <w:rFonts w:ascii="Times New Roman" w:cs="Times New Roman" w:eastAsia="Times New Roman" w:hAnsi="Times New Roman"/>
          <w:sz w:val="18"/>
          <w:szCs w:val="18"/>
          <w:color w:val="auto"/>
        </w:rPr>
      </w:pPr>
    </w:p>
    <w:p>
      <w:pPr>
        <w:ind w:firstLine="430"/>
        <w:spacing w:after="0" w:line="265" w:lineRule="auto"/>
        <w:tabs>
          <w:tab w:leader="none" w:pos="70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Notwithstanding any other provision of this Award Document, it is intended that payments hereunder will be exempt from or in compliance with Section 409A of the Code. For purposes of this Award Document, all rights to payments hereunder shall be treated as rights to receive a series of separate payments and benefits to the fullest extent allowed by Section 409A of the Code. Notwithstanding the foregoing, should any payments made in accordance with this Award Document to a “specified employee” (as defined under Section 409A of the Code) be determined to be payments from a nonqualified deferred compensation plan subject to Section 409A of the Code that are payable in connection with the Grantee’s “separation from service” (as defined under Section 409A of the Code), and that are not exempt from Section 409A of the Code, such payments, to the extent otherwise payable within six (6) months after the Grantee’s separation from service, and to the extent necessary to avoid the imposition of taxes under</w:t>
      </w:r>
    </w:p>
    <w:p>
      <w:pPr>
        <w:spacing w:after="0" w:line="4" w:lineRule="exact"/>
        <w:rPr>
          <w:rFonts w:ascii="Times New Roman" w:cs="Times New Roman" w:eastAsia="Times New Roman" w:hAnsi="Times New Roman"/>
          <w:sz w:val="17"/>
          <w:szCs w:val="17"/>
          <w:color w:val="auto"/>
        </w:rPr>
      </w:pPr>
    </w:p>
    <w:p>
      <w:pPr>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 of the Code, will be paid in a lump sum on the earlier of the date that is six (6) months and one day after the Grantee’s date of separation from service or the date of the Grantee’s death.</w:t>
      </w:r>
    </w:p>
    <w:p>
      <w:pPr>
        <w:spacing w:after="0" w:line="75" w:lineRule="exact"/>
        <w:rPr>
          <w:rFonts w:ascii="Times New Roman" w:cs="Times New Roman" w:eastAsia="Times New Roman" w:hAnsi="Times New Roman"/>
          <w:sz w:val="17"/>
          <w:szCs w:val="17"/>
          <w:color w:val="auto"/>
        </w:rPr>
      </w:pPr>
    </w:p>
    <w:p>
      <w:pPr>
        <w:ind w:right="60" w:firstLine="430"/>
        <w:spacing w:after="0" w:line="253" w:lineRule="auto"/>
        <w:tabs>
          <w:tab w:leader="none" w:pos="7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Acceptance and Signature</w:t>
      </w:r>
      <w:r>
        <w:rPr>
          <w:rFonts w:ascii="Times New Roman" w:cs="Times New Roman" w:eastAsia="Times New Roman" w:hAnsi="Times New Roman"/>
          <w:sz w:val="18"/>
          <w:szCs w:val="18"/>
          <w:color w:val="auto"/>
        </w:rPr>
        <w:t>. By clicking the applicable acceptance box on the Equity Edge Online website, Grantee acknowledges that the Grantee has received a copy of the Plan, has read the Plan and is familiar with its terms, and agrees to all of the terms and conditions described in this Award Document and the Plan. Such online acceptance constitutes Grantee’s electronic signature for the execution and delivery of this Award Document, which shall have the same force and effect as if Grantee manually signed this Award Document. The parties hereto may execute and deliver any additional documents in connection with this Award Document using procedures now or hereafter established by Repay (or any third party engaged by Repay to provide administrative services related to the Plan) for electronic signature and delivery.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8" w:right="519" w:bottom="1440" w:gutter="0" w:footer="0" w:header="0"/>
        </w:sectPr>
      </w:pPr>
    </w:p>
    <w:bookmarkStart w:id="30" w:name="page31"/>
    <w:bookmarkEnd w:id="30"/>
    <w:p>
      <w:pPr>
        <w:ind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Repay has caused this Award Document to be executed on its behalf by its duly authorized officer on the day and year first indicated above.</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27654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500" w:top="268" w:right="57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Attachment A</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the Vesting Percentage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Vesting Percentage for the Performance Period shall be determined as follows: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#1</w:t>
      </w:r>
      <w:r>
        <w:rPr>
          <w:rFonts w:ascii="Times New Roman" w:cs="Times New Roman" w:eastAsia="Times New Roman" w:hAnsi="Times New Roman"/>
          <w:sz w:val="18"/>
          <w:szCs w:val="18"/>
          <w:color w:val="auto"/>
        </w:rPr>
        <w:t xml:space="preserve"> - -</w:t>
      </w:r>
    </w:p>
    <w:p>
      <w:pPr>
        <w:spacing w:after="0" w:line="220"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Determine the “Adjusted EBITDA Achievement Percentage” for each of the three (3) Fiscal Years within the Performance Period. The “Adjusted EBITDA Achievement Percentage” for each Fiscal Year within the Performance Period is the growth (which may be positive or negative) in Repay’s Adjusted EBITDA for the applicable Fiscal Year compared to Repay’s Adjusted EBITDA for the immediately-preceding Fiscal Year, expressed as a percentage, and determined as follows:</w:t>
      </w:r>
    </w:p>
    <w:p>
      <w:pPr>
        <w:spacing w:after="0" w:line="89" w:lineRule="exact"/>
        <w:rPr>
          <w:sz w:val="20"/>
          <w:szCs w:val="20"/>
          <w:color w:val="auto"/>
        </w:rPr>
      </w:pPr>
    </w:p>
    <w:p>
      <w:pPr>
        <w:ind w:left="960" w:hanging="539"/>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Repay’s Adjusted EBITDA for the applicable Fiscal Year within the Performance Period.</w:t>
      </w:r>
    </w:p>
    <w:p>
      <w:pPr>
        <w:spacing w:after="0" w:line="126" w:lineRule="exact"/>
        <w:rPr>
          <w:rFonts w:ascii="Times New Roman" w:cs="Times New Roman" w:eastAsia="Times New Roman" w:hAnsi="Times New Roman"/>
          <w:sz w:val="18"/>
          <w:szCs w:val="18"/>
          <w:color w:val="auto"/>
        </w:rPr>
      </w:pPr>
    </w:p>
    <w:p>
      <w:pPr>
        <w:ind w:left="960" w:right="60" w:hanging="539"/>
        <w:spacing w:after="0" w:line="26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 the amount, if any, by which Repay’s Adjusted EBITDA for the applicable Fiscal Year exceeds Repay’s Adjusted EBITDA for the immediately-preceding Fiscal Year or (B) the amount, if any, by which Repay’s Adjusted EBITDA for the immediately-preceding Fiscal Year exceeds Repay’s Adjusted EBITDA for the applicable Fiscal Year.</w:t>
      </w:r>
    </w:p>
    <w:p>
      <w:pPr>
        <w:spacing w:after="0" w:line="83" w:lineRule="exact"/>
        <w:rPr>
          <w:rFonts w:ascii="Times New Roman" w:cs="Times New Roman" w:eastAsia="Times New Roman" w:hAnsi="Times New Roman"/>
          <w:sz w:val="18"/>
          <w:szCs w:val="18"/>
          <w:color w:val="auto"/>
        </w:rPr>
      </w:pPr>
    </w:p>
    <w:p>
      <w:pPr>
        <w:ind w:left="960" w:hanging="539"/>
        <w:spacing w:after="0" w:line="255"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amount calculated in Step #1(ii) above by Repay’s Adjusted EBITDA for the immediately-preceding Fiscal Year, expressed as a percentage (and rounded down to the nearest one-hundredth of a percent) to determine the Adjusted EBITDA Achievement Percentage for the applicable Fiscal Year. For clarity, if the amount calculated in Step #1(ii) above was determined pursuant to clause (A) of Step #1(ii) above, then the expressed percentage shall be a positive percentage and, conversely, if the amount calculated in Step #1(ii) above was determined pursuant to clause (B) of Step #1(ii) above, then the expressed percentage shall be a negative percentage.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 #2</w:t>
      </w:r>
      <w:r>
        <w:rPr>
          <w:rFonts w:ascii="Times New Roman" w:cs="Times New Roman" w:eastAsia="Times New Roman" w:hAnsi="Times New Roman"/>
          <w:sz w:val="18"/>
          <w:szCs w:val="18"/>
          <w:color w:val="auto"/>
        </w:rPr>
        <w:t xml:space="preserve"> - -</w:t>
      </w:r>
    </w:p>
    <w:p>
      <w:pPr>
        <w:spacing w:after="0" w:line="2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Determine the “Payout Percentage” for each of the three (3) Fiscal Years within the Performance Period. The “Payout Percentage” for each applicable Fiscal Year within the Performance Period is the Payout Percentage (rounded down to the nearest one-hundredth of a percent) from the chart below - - at or above Threshold or Target and up to Maximum - - that corresponds to the Adjusted EBITDA Achievement Percentage for the applicable Fiscal Year, as determined in Step #1 above, and determined as follows:</w:t>
      </w:r>
    </w:p>
    <w:p>
      <w:pPr>
        <w:spacing w:after="0" w:line="89" w:lineRule="exact"/>
        <w:rPr>
          <w:sz w:val="20"/>
          <w:szCs w:val="20"/>
          <w:color w:val="auto"/>
        </w:rPr>
      </w:pPr>
    </w:p>
    <w:p>
      <w:pPr>
        <w:ind w:left="960" w:right="120" w:hanging="539"/>
        <w:spacing w:after="0" w:line="308" w:lineRule="auto"/>
        <w:tabs>
          <w:tab w:leader="none" w:pos="9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Adjusted EBITDA Achievement Percentage for the applicable Fiscal Year is below the Adjusted EBITDA Achievement Percentage that corresponds to the Threshold level in the chart below, then the Payout Percentage for the applicable Fiscal Year will be zero (0).</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4" w:right="519" w:bottom="1440" w:gutter="0" w:footer="0" w:header="0"/>
        </w:sectPr>
      </w:pPr>
    </w:p>
    <w:bookmarkStart w:id="32" w:name="page33"/>
    <w:bookmarkEnd w:id="32"/>
    <w:p>
      <w:pPr>
        <w:ind w:left="539" w:hanging="539"/>
        <w:spacing w:after="0" w:line="308" w:lineRule="auto"/>
        <w:tabs>
          <w:tab w:leader="none" w:pos="53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Adjusted EBITDA Achievement Percentage for the applicable Fiscal Year is at the Adjusted EBITDA Achievement Percentage that corresponds to the Threshold level in the chart below, then the Payout Percentage for the applicable Fiscal Year will be fifty percent (50%).</w:t>
      </w:r>
    </w:p>
    <w:p>
      <w:pPr>
        <w:spacing w:after="0" w:line="45" w:lineRule="exact"/>
        <w:rPr>
          <w:rFonts w:ascii="Times New Roman" w:cs="Times New Roman" w:eastAsia="Times New Roman" w:hAnsi="Times New Roman"/>
          <w:sz w:val="17"/>
          <w:szCs w:val="17"/>
          <w:color w:val="auto"/>
        </w:rPr>
      </w:pPr>
    </w:p>
    <w:p>
      <w:pPr>
        <w:ind w:left="539" w:right="120" w:hanging="539"/>
        <w:spacing w:after="0" w:line="262" w:lineRule="auto"/>
        <w:tabs>
          <w:tab w:leader="none" w:pos="5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EBITDA Achievement Percentage for the applicable Fiscal Year is at the Adjusted EBITDA Achievement Percentage that corresponds to the Target level in the chart below, then the Payout Percentage for the applicable Fiscal Year will be one hundred percent (100%).</w:t>
      </w:r>
    </w:p>
    <w:p>
      <w:pPr>
        <w:spacing w:after="0" w:line="83" w:lineRule="exact"/>
        <w:rPr>
          <w:rFonts w:ascii="Times New Roman" w:cs="Times New Roman" w:eastAsia="Times New Roman" w:hAnsi="Times New Roman"/>
          <w:sz w:val="18"/>
          <w:szCs w:val="18"/>
          <w:color w:val="auto"/>
        </w:rPr>
      </w:pPr>
    </w:p>
    <w:p>
      <w:pPr>
        <w:ind w:left="539" w:hanging="539"/>
        <w:spacing w:after="0" w:line="262" w:lineRule="auto"/>
        <w:tabs>
          <w:tab w:leader="none" w:pos="5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Adjusted EBITDA Achievement Percentage for the applicable Fiscal Year is at or above the Adjusted EBITDA Achievement Percentage that corresponds to the Maximum level in the chart below, then the Payout Percentage for the applicable Fiscal Year will be two hundred percent (200%).</w:t>
      </w:r>
    </w:p>
    <w:p>
      <w:pPr>
        <w:spacing w:after="0" w:line="83" w:lineRule="exact"/>
        <w:rPr>
          <w:rFonts w:ascii="Times New Roman" w:cs="Times New Roman" w:eastAsia="Times New Roman" w:hAnsi="Times New Roman"/>
          <w:sz w:val="18"/>
          <w:szCs w:val="18"/>
          <w:color w:val="auto"/>
        </w:rPr>
      </w:pPr>
    </w:p>
    <w:p>
      <w:pPr>
        <w:ind w:left="539" w:right="20" w:hanging="539"/>
        <w:spacing w:after="0" w:line="266" w:lineRule="auto"/>
        <w:tabs>
          <w:tab w:leader="none" w:pos="53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Adjusted EBITDA Achievement Percentage for the applicable fiscal year falls between (A) the Adjusted EBITDA Achievement Percentage that corresponds to the Threshold level in the chart below and the Adjusted EBITDA Achievement Percentage that corresponds to the Target level in the chart below or (B) the Adjusted EBITDA Achievement Percentage that corresponds to the Target level in the chart below and the Adjusted EBITDA Achievement Percentage that corresponds to the Maximum level in the chart below, then the Payout Percentage for the applicable Fiscal Year will be calculated using straight-line interpolation between (A) the Payout Percentage that corresponds to the Threshold level in the chart below and the Payout Percentage that corresponds to the Target level in the chart below or</w:t>
      </w:r>
    </w:p>
    <w:p>
      <w:pPr>
        <w:spacing w:after="0" w:line="1" w:lineRule="exact"/>
        <w:rPr>
          <w:rFonts w:ascii="Times New Roman" w:cs="Times New Roman" w:eastAsia="Times New Roman" w:hAnsi="Times New Roman"/>
          <w:sz w:val="17"/>
          <w:szCs w:val="17"/>
          <w:color w:val="auto"/>
        </w:rPr>
      </w:pPr>
    </w:p>
    <w:p>
      <w:pPr>
        <w:ind w:left="539" w:right="6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Payout Percentage that corresponds to the Target level in the chart below and the Payout Percentage that corresponds to the Maximum level in the chart below, as applicable.</w:t>
      </w:r>
    </w:p>
    <w:p>
      <w:pPr>
        <w:spacing w:after="0" w:line="88" w:lineRule="exact"/>
        <w:rPr>
          <w:rFonts w:ascii="Times New Roman" w:cs="Times New Roman" w:eastAsia="Times New Roman" w:hAnsi="Times New Roman"/>
          <w:sz w:val="17"/>
          <w:szCs w:val="17"/>
          <w:color w:val="auto"/>
        </w:rPr>
      </w:pPr>
    </w:p>
    <w:p>
      <w:pPr>
        <w:ind w:left="539" w:hanging="539"/>
        <w:spacing w:after="0"/>
        <w:tabs>
          <w:tab w:leader="none" w:pos="5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the Payout Percentage for any applicable Fiscal Year exceed two hundred percent (200%).</w:t>
      </w:r>
    </w:p>
    <w:p>
      <w:pPr>
        <w:spacing w:after="0" w:line="229" w:lineRule="exact"/>
        <w:rPr>
          <w:sz w:val="20"/>
          <w:szCs w:val="20"/>
          <w:color w:val="auto"/>
        </w:rPr>
      </w:pPr>
    </w:p>
    <w:tbl>
      <w:tblPr>
        <w:tblLayout w:type="fixed"/>
        <w:tblInd w:w="439"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040" w:type="dxa"/>
            <w:vAlign w:val="bottom"/>
            <w:gridSpan w:val="2"/>
          </w:tcPr>
          <w:p>
            <w:pPr>
              <w:jc w:val="center"/>
              <w:ind w:right="871"/>
              <w:spacing w:after="0"/>
              <w:rPr>
                <w:sz w:val="20"/>
                <w:szCs w:val="20"/>
                <w:color w:val="auto"/>
              </w:rPr>
            </w:pPr>
            <w:r>
              <w:rPr>
                <w:rFonts w:ascii="Times New Roman" w:cs="Times New Roman" w:eastAsia="Times New Roman" w:hAnsi="Times New Roman"/>
                <w:sz w:val="14"/>
                <w:szCs w:val="14"/>
                <w:color w:val="auto"/>
              </w:rPr>
              <w:t>Fiscal Year 2026</w:t>
            </w:r>
          </w:p>
        </w:tc>
        <w:tc>
          <w:tcPr>
            <w:tcW w:w="2020" w:type="dxa"/>
            <w:vAlign w:val="bottom"/>
            <w:gridSpan w:val="2"/>
          </w:tcPr>
          <w:p>
            <w:pPr>
              <w:jc w:val="center"/>
              <w:ind w:right="851"/>
              <w:spacing w:after="0"/>
              <w:rPr>
                <w:sz w:val="20"/>
                <w:szCs w:val="20"/>
                <w:color w:val="auto"/>
              </w:rPr>
            </w:pPr>
            <w:r>
              <w:rPr>
                <w:rFonts w:ascii="Times New Roman" w:cs="Times New Roman" w:eastAsia="Times New Roman" w:hAnsi="Times New Roman"/>
                <w:sz w:val="14"/>
                <w:szCs w:val="14"/>
                <w:color w:val="auto"/>
              </w:rPr>
              <w:t>Fiscal Year 2027</w:t>
            </w:r>
          </w:p>
        </w:tc>
        <w:tc>
          <w:tcPr>
            <w:tcW w:w="1340" w:type="dxa"/>
            <w:vAlign w:val="bottom"/>
            <w:gridSpan w:val="2"/>
          </w:tcPr>
          <w:p>
            <w:pPr>
              <w:jc w:val="center"/>
              <w:ind w:right="171"/>
              <w:spacing w:after="0"/>
              <w:rPr>
                <w:sz w:val="20"/>
                <w:szCs w:val="20"/>
                <w:color w:val="auto"/>
              </w:rPr>
            </w:pPr>
            <w:r>
              <w:rPr>
                <w:rFonts w:ascii="Times New Roman" w:cs="Times New Roman" w:eastAsia="Times New Roman" w:hAnsi="Times New Roman"/>
                <w:sz w:val="14"/>
                <w:szCs w:val="14"/>
                <w:color w:val="auto"/>
              </w:rPr>
              <w:t>Fiscal Year 2028</w:t>
            </w:r>
          </w:p>
        </w:tc>
      </w:tr>
      <w:tr>
        <w:trPr>
          <w:trHeight w:val="147"/>
        </w:trPr>
        <w:tc>
          <w:tcPr>
            <w:tcW w:w="3760" w:type="dxa"/>
            <w:vAlign w:val="bottom"/>
          </w:tcPr>
          <w:p>
            <w:pPr>
              <w:spacing w:after="0"/>
              <w:rPr>
                <w:sz w:val="12"/>
                <w:szCs w:val="12"/>
                <w:color w:val="auto"/>
              </w:rPr>
            </w:pPr>
          </w:p>
        </w:tc>
        <w:tc>
          <w:tcPr>
            <w:tcW w:w="2040" w:type="dxa"/>
            <w:vAlign w:val="bottom"/>
            <w:gridSpan w:val="2"/>
          </w:tcPr>
          <w:p>
            <w:pPr>
              <w:jc w:val="center"/>
              <w:ind w:right="871"/>
              <w:spacing w:after="0" w:line="147" w:lineRule="exact"/>
              <w:rPr>
                <w:sz w:val="20"/>
                <w:szCs w:val="20"/>
                <w:color w:val="auto"/>
              </w:rPr>
            </w:pPr>
            <w:r>
              <w:rPr>
                <w:rFonts w:ascii="Times New Roman" w:cs="Times New Roman" w:eastAsia="Times New Roman" w:hAnsi="Times New Roman"/>
                <w:sz w:val="14"/>
                <w:szCs w:val="14"/>
                <w:color w:val="auto"/>
              </w:rPr>
              <w:t>Adjusted EBITDA</w:t>
            </w:r>
          </w:p>
        </w:tc>
        <w:tc>
          <w:tcPr>
            <w:tcW w:w="2020" w:type="dxa"/>
            <w:vAlign w:val="bottom"/>
            <w:gridSpan w:val="2"/>
          </w:tcPr>
          <w:p>
            <w:pPr>
              <w:jc w:val="center"/>
              <w:ind w:right="871"/>
              <w:spacing w:after="0" w:line="147" w:lineRule="exact"/>
              <w:rPr>
                <w:sz w:val="20"/>
                <w:szCs w:val="20"/>
                <w:color w:val="auto"/>
              </w:rPr>
            </w:pPr>
            <w:r>
              <w:rPr>
                <w:rFonts w:ascii="Times New Roman" w:cs="Times New Roman" w:eastAsia="Times New Roman" w:hAnsi="Times New Roman"/>
                <w:sz w:val="14"/>
                <w:szCs w:val="14"/>
                <w:color w:val="auto"/>
              </w:rPr>
              <w:t>Adjusted EBITDA</w:t>
            </w:r>
          </w:p>
        </w:tc>
        <w:tc>
          <w:tcPr>
            <w:tcW w:w="1340" w:type="dxa"/>
            <w:vAlign w:val="bottom"/>
            <w:gridSpan w:val="2"/>
          </w:tcPr>
          <w:p>
            <w:pPr>
              <w:jc w:val="center"/>
              <w:ind w:right="171"/>
              <w:spacing w:after="0" w:line="147" w:lineRule="exact"/>
              <w:rPr>
                <w:sz w:val="20"/>
                <w:szCs w:val="20"/>
                <w:color w:val="auto"/>
              </w:rPr>
            </w:pPr>
            <w:r>
              <w:rPr>
                <w:rFonts w:ascii="Times New Roman" w:cs="Times New Roman" w:eastAsia="Times New Roman" w:hAnsi="Times New Roman"/>
                <w:sz w:val="14"/>
                <w:szCs w:val="14"/>
                <w:color w:val="auto"/>
              </w:rPr>
              <w:t>Adjusted EBITDA</w:t>
            </w:r>
          </w:p>
        </w:tc>
      </w:tr>
      <w:tr>
        <w:trPr>
          <w:trHeight w:val="147"/>
        </w:trPr>
        <w:tc>
          <w:tcPr>
            <w:tcW w:w="3760" w:type="dxa"/>
            <w:vAlign w:val="bottom"/>
          </w:tcPr>
          <w:p>
            <w:pPr>
              <w:spacing w:after="0"/>
              <w:rPr>
                <w:sz w:val="12"/>
                <w:szCs w:val="12"/>
                <w:color w:val="auto"/>
              </w:rPr>
            </w:pPr>
          </w:p>
        </w:tc>
        <w:tc>
          <w:tcPr>
            <w:tcW w:w="2040" w:type="dxa"/>
            <w:vAlign w:val="bottom"/>
            <w:gridSpan w:val="2"/>
          </w:tcPr>
          <w:p>
            <w:pPr>
              <w:jc w:val="center"/>
              <w:ind w:right="871"/>
              <w:spacing w:after="0" w:line="147" w:lineRule="exact"/>
              <w:rPr>
                <w:sz w:val="20"/>
                <w:szCs w:val="20"/>
                <w:color w:val="auto"/>
              </w:rPr>
            </w:pPr>
            <w:r>
              <w:rPr>
                <w:rFonts w:ascii="Times New Roman" w:cs="Times New Roman" w:eastAsia="Times New Roman" w:hAnsi="Times New Roman"/>
                <w:sz w:val="14"/>
                <w:szCs w:val="14"/>
                <w:color w:val="auto"/>
              </w:rPr>
              <w:t>Achievement</w:t>
            </w:r>
          </w:p>
        </w:tc>
        <w:tc>
          <w:tcPr>
            <w:tcW w:w="2020" w:type="dxa"/>
            <w:vAlign w:val="bottom"/>
            <w:gridSpan w:val="2"/>
          </w:tcPr>
          <w:p>
            <w:pPr>
              <w:jc w:val="center"/>
              <w:ind w:right="851"/>
              <w:spacing w:after="0" w:line="147" w:lineRule="exact"/>
              <w:rPr>
                <w:sz w:val="20"/>
                <w:szCs w:val="20"/>
                <w:color w:val="auto"/>
              </w:rPr>
            </w:pPr>
            <w:r>
              <w:rPr>
                <w:rFonts w:ascii="Times New Roman" w:cs="Times New Roman" w:eastAsia="Times New Roman" w:hAnsi="Times New Roman"/>
                <w:sz w:val="14"/>
                <w:szCs w:val="14"/>
                <w:color w:val="auto"/>
              </w:rPr>
              <w:t>Achievement</w:t>
            </w:r>
          </w:p>
        </w:tc>
        <w:tc>
          <w:tcPr>
            <w:tcW w:w="1340" w:type="dxa"/>
            <w:vAlign w:val="bottom"/>
            <w:gridSpan w:val="2"/>
          </w:tcPr>
          <w:p>
            <w:pPr>
              <w:jc w:val="center"/>
              <w:ind w:right="171"/>
              <w:spacing w:after="0" w:line="147" w:lineRule="exact"/>
              <w:rPr>
                <w:sz w:val="20"/>
                <w:szCs w:val="20"/>
                <w:color w:val="auto"/>
              </w:rPr>
            </w:pPr>
            <w:r>
              <w:rPr>
                <w:rFonts w:ascii="Times New Roman" w:cs="Times New Roman" w:eastAsia="Times New Roman" w:hAnsi="Times New Roman"/>
                <w:sz w:val="14"/>
                <w:szCs w:val="14"/>
                <w:color w:val="auto"/>
              </w:rPr>
              <w:t>Achievement</w:t>
            </w:r>
          </w:p>
        </w:tc>
      </w:tr>
      <w:tr>
        <w:trPr>
          <w:trHeight w:val="170"/>
        </w:trPr>
        <w:tc>
          <w:tcPr>
            <w:tcW w:w="3760" w:type="dxa"/>
            <w:vAlign w:val="bottom"/>
          </w:tcPr>
          <w:p>
            <w:pPr>
              <w:spacing w:after="0"/>
              <w:rPr>
                <w:sz w:val="14"/>
                <w:szCs w:val="14"/>
                <w:color w:val="auto"/>
              </w:rPr>
            </w:pPr>
          </w:p>
        </w:tc>
        <w:tc>
          <w:tcPr>
            <w:tcW w:w="2040" w:type="dxa"/>
            <w:vAlign w:val="bottom"/>
            <w:gridSpan w:val="2"/>
          </w:tcPr>
          <w:p>
            <w:pPr>
              <w:jc w:val="center"/>
              <w:ind w:right="851"/>
              <w:spacing w:after="0"/>
              <w:rPr>
                <w:sz w:val="20"/>
                <w:szCs w:val="20"/>
                <w:color w:val="auto"/>
              </w:rPr>
            </w:pPr>
            <w:r>
              <w:rPr>
                <w:rFonts w:ascii="Times New Roman" w:cs="Times New Roman" w:eastAsia="Times New Roman" w:hAnsi="Times New Roman"/>
                <w:sz w:val="14"/>
                <w:szCs w:val="14"/>
                <w:color w:val="auto"/>
              </w:rPr>
              <w:t>Percentage</w:t>
            </w:r>
          </w:p>
        </w:tc>
        <w:tc>
          <w:tcPr>
            <w:tcW w:w="2020" w:type="dxa"/>
            <w:vAlign w:val="bottom"/>
            <w:gridSpan w:val="2"/>
          </w:tcPr>
          <w:p>
            <w:pPr>
              <w:jc w:val="center"/>
              <w:ind w:right="871"/>
              <w:spacing w:after="0"/>
              <w:rPr>
                <w:sz w:val="20"/>
                <w:szCs w:val="20"/>
                <w:color w:val="auto"/>
              </w:rPr>
            </w:pPr>
            <w:r>
              <w:rPr>
                <w:rFonts w:ascii="Times New Roman" w:cs="Times New Roman" w:eastAsia="Times New Roman" w:hAnsi="Times New Roman"/>
                <w:sz w:val="14"/>
                <w:szCs w:val="14"/>
                <w:color w:val="auto"/>
              </w:rPr>
              <w:t>Percentage</w:t>
            </w:r>
          </w:p>
        </w:tc>
        <w:tc>
          <w:tcPr>
            <w:tcW w:w="1340" w:type="dxa"/>
            <w:vAlign w:val="bottom"/>
            <w:gridSpan w:val="2"/>
          </w:tcPr>
          <w:p>
            <w:pPr>
              <w:jc w:val="center"/>
              <w:ind w:right="151"/>
              <w:spacing w:after="0"/>
              <w:rPr>
                <w:sz w:val="20"/>
                <w:szCs w:val="20"/>
                <w:color w:val="auto"/>
              </w:rPr>
            </w:pPr>
            <w:r>
              <w:rPr>
                <w:rFonts w:ascii="Times New Roman" w:cs="Times New Roman" w:eastAsia="Times New Roman" w:hAnsi="Times New Roman"/>
                <w:sz w:val="14"/>
                <w:szCs w:val="14"/>
                <w:color w:val="auto"/>
              </w:rPr>
              <w:t>Percentage</w:t>
            </w:r>
          </w:p>
        </w:tc>
      </w:tr>
      <w:tr>
        <w:trPr>
          <w:trHeight w:val="207"/>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(Payout Percentage - - 200%)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960" w:type="dxa"/>
            <w:vAlign w:val="bottom"/>
            <w:tcBorders>
              <w:top w:val="single" w:sz="8" w:color="CCEEFF"/>
            </w:tcBorders>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940" w:type="dxa"/>
            <w:vAlign w:val="bottom"/>
            <w:tcBorders>
              <w:top w:val="single" w:sz="8" w:color="CCEEFF"/>
            </w:tcBorders>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Target (Payout Percentage - - 100%)</w:t>
            </w:r>
          </w:p>
        </w:tc>
        <w:tc>
          <w:tcPr>
            <w:tcW w:w="2040" w:type="dxa"/>
            <w:vAlign w:val="bottom"/>
            <w:gridSpan w:val="2"/>
          </w:tcPr>
          <w:p>
            <w:pPr>
              <w:jc w:val="right"/>
              <w:ind w:right="651"/>
              <w:spacing w:after="0"/>
              <w:rPr>
                <w:sz w:val="20"/>
                <w:szCs w:val="20"/>
                <w:color w:val="auto"/>
              </w:rPr>
            </w:pPr>
            <w:r>
              <w:rPr>
                <w:rFonts w:ascii="Times New Roman" w:cs="Times New Roman" w:eastAsia="Times New Roman" w:hAnsi="Times New Roman"/>
                <w:sz w:val="18"/>
                <w:szCs w:val="18"/>
                <w:color w:val="auto"/>
              </w:rPr>
              <w:t>[_]%</w:t>
            </w:r>
          </w:p>
        </w:tc>
        <w:tc>
          <w:tcPr>
            <w:tcW w:w="2020" w:type="dxa"/>
            <w:vAlign w:val="bottom"/>
            <w:gridSpan w:val="2"/>
          </w:tcPr>
          <w:p>
            <w:pPr>
              <w:jc w:val="right"/>
              <w:ind w:right="651"/>
              <w:spacing w:after="0"/>
              <w:rPr>
                <w:sz w:val="20"/>
                <w:szCs w:val="20"/>
                <w:color w:val="auto"/>
              </w:rPr>
            </w:pPr>
            <w:r>
              <w:rPr>
                <w:rFonts w:ascii="Times New Roman" w:cs="Times New Roman" w:eastAsia="Times New Roman" w:hAnsi="Times New Roman"/>
                <w:sz w:val="18"/>
                <w:szCs w:val="18"/>
                <w:color w:val="auto"/>
              </w:rPr>
              <w:t>[_]%</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21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 (Payout Percentage - - 50%)</w:t>
            </w:r>
          </w:p>
        </w:tc>
        <w:tc>
          <w:tcPr>
            <w:tcW w:w="2040" w:type="dxa"/>
            <w:vAlign w:val="bottom"/>
            <w:gridSpan w:val="2"/>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[_]%</w:t>
            </w:r>
          </w:p>
        </w:tc>
        <w:tc>
          <w:tcPr>
            <w:tcW w:w="2020" w:type="dxa"/>
            <w:vAlign w:val="bottom"/>
            <w:gridSpan w:val="2"/>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[_]%</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361"/>
        </w:trPr>
        <w:tc>
          <w:tcPr>
            <w:tcW w:w="3760" w:type="dxa"/>
            <w:vAlign w:val="bottom"/>
          </w:tcPr>
          <w:p>
            <w:pPr>
              <w:spacing w:after="0"/>
              <w:rPr>
                <w:sz w:val="24"/>
                <w:szCs w:val="24"/>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459"/>
          </w:cols>
          <w:pgMar w:left="921" w:top="268"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Step #3</w:t>
      </w:r>
      <w:r>
        <w:rPr>
          <w:rFonts w:ascii="Times New Roman" w:cs="Times New Roman" w:eastAsia="Times New Roman" w:hAnsi="Times New Roman"/>
          <w:sz w:val="18"/>
          <w:szCs w:val="18"/>
          <w:color w:val="auto"/>
        </w:rPr>
        <w:t xml:space="preserve"> - -</w:t>
      </w:r>
    </w:p>
    <w:p>
      <w:pPr>
        <w:spacing w:after="0" w:line="22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Determine the “Vesting Percentage” by dividing (i) the sum of the “Payout Percentages” for each of the three (3) Fiscal Years within the Performance Period, as calculated in Step #2 above, by three (3) (and rounding to the nearest one-hundredth of a percent).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the Award Document to which this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is attached, the following words will have the following meanings:</w:t>
      </w:r>
    </w:p>
    <w:p>
      <w:pPr>
        <w:spacing w:after="0" w:line="22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means, for each applicable Fiscal Year, Repay’s net income for the applicable Fiscal Year prior to interest expense, tax expense, depreciation and amortization, as adjusted to add back certain charges deemed to not be part of normal operating expenses, non-cash charges and/or non-recurring charges, such as loss on extinguishment of debt, loss on termination of interest rate hedge, non-cash change in fair value of contingent consideration, non-cash change in fair value of assets and liabilities, share-based compensation charges, transaction expenses, restructuring and other strategic initiative costs and other non-recurring charges, in all cases consistent with Repay’s calculations and determinations set forth in its applicable SEC reports.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Repay’s fiscal year ending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calendar year.</w:t>
      </w:r>
    </w:p>
    <w:p>
      <w:pPr>
        <w:spacing w:after="0" w:line="1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three (3)-year period beginning on January 1, 2026 and ending on December 31, 2028. For clarity, the Performance Period shall be comprised of the following: (i) Repay’s Fiscal Year ending December 31, 2026, (ii) Repay’s Fiscal Year ending December 31, 2027, and (iii) Repay’s Fiscal Year ending December 31, 2028.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Terms</w:t>
      </w:r>
    </w:p>
    <w:p>
      <w:pPr>
        <w:spacing w:after="0" w:line="11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Committee shall adjust financial performance (up or down) at the end of the Performance Period to address any unexpected one-time items (i.e., restructurings, litigation, changes in accounting or tax laws or rates, etc.), as necessary to prevent any inequitable enlargement or dilution of the Grantee’s rights under this Award Document. Repay does not budget for M&amp;A activity. Accordingly, in the event of material M&amp;A activity during the Performance Period, the Committee will adjust the metrics to reflect the projected impact as a result of any such material M&amp;A activity.</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20"/>
          </w:cols>
          <w:pgMar w:left="500" w:top="268" w:right="5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815465" cy="560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1815465" cy="56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 Holdings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3060 Peachtree Road NW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30305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6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 am General Counsel for Repay Holdings Corporation, a Delaware corporation (the “Company”), and have advised the Company in connection with the Registration Statement on Form S-8 (the “Registration Statement”), as filed by the Company with the Securities and Exchange Commission (the “Commission”) on the date hereof, pursuant to the Securities Act of 1933, as amended (the “Securities Act”), to register 781,248 shares (the “Shares”) of Class A common stock, $0.0001 par value per share, of the Company (the “Common Stock”), consisting of (i) 260,416 Shares which were issued under a restricted stock award (the “RSAs”) granted to Matthew E. Morrow pursuant and subject to a Restricted Stock Employment Inducement Award Agreement, dated May 12, 2026 (the “RSA Plan”), (ii) 260,416 Shares that may be issued upon the vesting and settlement of 130,208 performance-based restricted stock units (the “TSR PSUs”) granted to Mr. Morrow pursuant and subject to a Performance-Based Restricted Stock Units Employment Inducement Award Agreement (TSR), dated May 12, 2026 (the “TSR PSU Plan”), and (iii) 260,416 Shares that may be issued upon the vesting and settlement of 130,208 performance-based restricted stock units (together with the RSAs and TSR PSUs, the “Inducement Awards”) granted to</w:t>
      </w:r>
    </w:p>
    <w:p>
      <w:pPr>
        <w:spacing w:after="0" w:line="7"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7"/>
          <w:szCs w:val="17"/>
          <w:color w:val="auto"/>
        </w:rPr>
        <w:t>Mr. Morrow pursuant and subject to a Performance-Based Restricted Stock Units Employment Inducement Award Agreement (Adjusted EBITDA), dated May 12, 2026 (together with the RSA Plan and the TSR PSU Plan, the “Plans”), as a material inducement to Mr. Morrow entering into employment with the Company, in reliance on the employment inducement exemption provided under the Nasdaq Listing Rule 5635(c)(4).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8(a) of Form S-8 and Item 601(b)(5)(i) of Regulation S-K.</w:t>
      </w:r>
    </w:p>
    <w:p>
      <w:pPr>
        <w:spacing w:after="0" w:line="2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 have examined originals or copies of such corporate records, agreements and instruments of the Company, statements and certificates of public officials and officers of the Company, and such other documents, records and instruments, including the Plans, and I have made such legal and factual inquiries as I have deemed necessary or appropriate as a basis for me to render the opinions hereinafter expressed. In my examination of the foregoing, I have assumed the genuineness of all signatures, the legal competence and capacity of natural persons, the authenticity of documents submitted to me as originals and the conformity with authentic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6921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3060 Peachtree Rd NW Suite 1100, Atlanta, GA 30305  •  877.607.5468  •  repay.com</w:t>
      </w:r>
    </w:p>
    <w:p>
      <w:pPr>
        <w:sectPr>
          <w:pgSz w:w="11900" w:h="16838" w:orient="portrait"/>
          <w:cols w:equalWidth="0" w:num="1">
            <w:col w:w="10900"/>
          </w:cols>
          <w:pgMar w:left="500" w:top="117" w:right="4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w:t>
      </w:r>
    </w:p>
    <w:p>
      <w:pPr>
        <w:spacing w:after="0" w:line="15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original documents of all documents submitted to me as copies. When relevant facts were not independently established, I have relied without independent investigation as to matters of fact upon statements of governmental officials and upon representations made in or pursuant to the certificates and statements of appropriate representatives of the Company.</w:t>
      </w:r>
    </w:p>
    <w:p>
      <w:pPr>
        <w:spacing w:after="0" w:line="17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connection herewith, I have assumed that (i) all of the documents referred to in this opinion letter have been duly authorized by, have been duly executed and delivered by, and constitute the valid, binding and enforceable obligations of, all of the parties to such documents, (ii) all of the signatories to the documents referred to in this opinion letter have been duly authorized, and (iii) all of the parties to the documents referred to in this opinion letter are duly organized and validly existing and have the power and authority (corporate or other) to execute, deliver and perform such documents.</w:t>
      </w:r>
    </w:p>
    <w:p>
      <w:pPr>
        <w:spacing w:after="0" w:line="1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 do not purport to express an opinion on any laws other than the laws of the State of Delaware. The opinions set forth herein are made as of the date hereof and are subject to, and may be limited by, future changes in the factual matters set forth herein, and I undertake no duty to advise you of the same. The opinions expressed herein are based upon the law in effect (and published or otherwise generally available) on the date hereof, and I assume no obligation to revise or supplement these opinions should such law be changed by legislative action, judicial decision or otherwise. In rendering my opinions, I have not considered, and hereby disclaim any opinion as to, the application or impact of any laws, cases, decisions, rules or regulations of any other jurisdiction, court or administrative agency.</w:t>
      </w:r>
    </w:p>
    <w:p>
      <w:pPr>
        <w:spacing w:after="0" w:line="187"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7"/>
          <w:szCs w:val="17"/>
          <w:color w:val="auto"/>
        </w:rPr>
        <w:t>Based upon the foregoing and in reliance thereon, and subject to the assumptions, comments, qualifications, limitations and exceptions set forth herein, I am of the opinion that the Shares have been duly authorized and are legally issued, fully paid and non-assessable, subject to the terms of the Plans.</w:t>
      </w:r>
    </w:p>
    <w:p>
      <w:pPr>
        <w:spacing w:after="0" w:line="13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 do not render any opinions except as set forth above. I hereby consent to the filing of this opinion as Exhibit 5.1 to the Registration Statement and to the use of my name under the caption “Legal Matters” in the prospectus filed as a part thereof. I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this consent, I do not admit that I am within the category of persons whose consent is required by Section 7 of the Securities Act or the rules and regulations promulgated thereunder by the Commission.</w:t>
      </w:r>
    </w:p>
    <w:p>
      <w:pPr>
        <w:spacing w:after="0" w:line="21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Tyler B.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Tyler B. Dempsey</w:t>
      </w:r>
    </w:p>
    <w:p>
      <w:pPr>
        <w:sectPr>
          <w:pgSz w:w="11900" w:h="16838" w:orient="portrait"/>
          <w:cols w:equalWidth="0" w:num="1">
            <w:col w:w="10900"/>
          </w:cols>
          <w:pgMar w:left="500" w:top="268" w:right="4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We have issued our reports dated March 9, 2026, with respect to the consolidated financial statements and internal control over financial reporting included in the Annual Report of Repay Holdings Corporation on Form 10-K for the year ended December 31, 2025, which are incorporated by reference in this Registration Statement. We consent to the incorporation by reference of the aforementioned reports in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ectPr>
          <w:pgSz w:w="11900" w:h="16838" w:orient="portrait"/>
          <w:cols w:equalWidth="0" w:num="1">
            <w:col w:w="10900"/>
          </w:cols>
          <w:pgMar w:left="500" w:top="117" w:right="499" w:bottom="1440" w:gutter="0" w:footer="0" w:header="0"/>
        </w:sectPr>
      </w:pPr>
    </w:p>
    <w:bookmarkStart w:id="37" w:name="page38"/>
    <w:bookmarkEnd w:id="3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Repay Holdings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781,248</w:t>
            </w:r>
          </w:p>
        </w:tc>
        <w:tc>
          <w:tcPr>
            <w:tcW w:w="20" w:type="dxa"/>
            <w:vAlign w:val="bottom"/>
          </w:tcPr>
          <w:p>
            <w:pPr>
              <w:spacing w:after="0"/>
              <w:rPr>
                <w:sz w:val="20"/>
                <w:szCs w:val="20"/>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$ 3.39</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$ 2,648,430.72</w:t>
            </w:r>
          </w:p>
        </w:tc>
        <w:tc>
          <w:tcPr>
            <w:tcW w:w="2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$ 365.75</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restart"/>
            <w:shd w:val="clear" w:color="auto" w:fill="E7E7E2"/>
          </w:tcPr>
          <w:p>
            <w:pPr>
              <w:spacing w:after="0" w:line="240" w:lineRule="exact"/>
              <w:rPr>
                <w:sz w:val="20"/>
                <w:szCs w:val="20"/>
                <w:color w:val="auto"/>
              </w:rPr>
            </w:pPr>
            <w:r>
              <w:rPr>
                <w:rFonts w:ascii="Arial" w:cs="Arial" w:eastAsia="Arial" w:hAnsi="Arial"/>
                <w:sz w:val="21"/>
                <w:szCs w:val="21"/>
                <w:color w:val="auto"/>
              </w:rPr>
              <w:t>$0.001</w:t>
            </w:r>
          </w:p>
        </w:tc>
        <w:tc>
          <w:tcPr>
            <w:tcW w:w="4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$ 2,648,430.72</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$ 365.75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$ 365.75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40" w:hanging="225"/>
        <w:spacing w:after="0" w:line="236" w:lineRule="auto"/>
        <w:tabs>
          <w:tab w:leader="none" w:pos="800" w:val="left"/>
        </w:tabs>
        <w:numPr>
          <w:ilvl w:val="0"/>
          <w:numId w:val="31"/>
        </w:numPr>
        <w:rPr>
          <w:rFonts w:ascii="Arial" w:cs="Arial" w:eastAsia="Arial" w:hAnsi="Arial"/>
          <w:sz w:val="27"/>
          <w:szCs w:val="27"/>
          <w:color w:val="auto"/>
          <w:vertAlign w:val="superscript"/>
        </w:rPr>
      </w:pPr>
      <w:r>
        <w:rPr>
          <w:rFonts w:ascii="Arial" w:cs="Arial" w:eastAsia="Arial" w:hAnsi="Arial"/>
          <w:sz w:val="21"/>
          <w:szCs w:val="21"/>
          <w:color w:val="auto"/>
        </w:rPr>
        <w:t>(1) Pursuant to Rule 416(a) promulgated under the Securities Act of 1933, as amended (the "Securities Act"), this Registration Statement shall also cover any additional shares of Class A common stock, par value $0.001 per share ("Common Stock"), of Repay Holdings Corporation (the "Company") that become issuable under (i) the Restricted Stock Employment Inducement Award Agreement, dated May 12, 2026, by and between the Company and Matthew E. Morrow, (ii) the Performance-Based Restricted Stock Units Employment Inducement Award Agreement (TSR), dated May 12, 2026, by and between the Company and Matthew E. Morrow or (iii) the Performance-Based Restricted Stock Units Employment Inducement Award Agreement (Adjusted EBITDA), dated May 12, 2026, by and between the Company and Matthew E. Morrow, by reason of any future stock dividend, stock split, recapitalization or other similar transaction. (2) Estimated pursuant to Rules 457(h) and 457(c) solely for the purpose of computing the registration fee, based on the average of the high and low prices of the securities being registered hereby on The Nasdaq Capital Market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63874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4"/>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5">
    <w:nsid w:val="3F2DBA31"/>
    <w:multiLevelType w:val="hybridMultilevel"/>
    <w:lvl w:ilvl="0">
      <w:lvlJc w:val="left"/>
      <w:lvlText w:val="(%1)"/>
      <w:numFmt w:val="lowerRoman"/>
      <w:start w:val="2"/>
    </w:lvl>
  </w:abstractNum>
  <w:abstractNum w:abstractNumId="6">
    <w:nsid w:val="7C83E458"/>
    <w:multiLevelType w:val="hybridMultilevel"/>
    <w:lvl w:ilvl="0">
      <w:lvlJc w:val="left"/>
      <w:lvlText w:val="%1"/>
      <w:numFmt w:val="lowerLetter"/>
      <w:start w:val="1"/>
    </w:lvl>
    <w:lvl w:ilvl="1">
      <w:lvlJc w:val="left"/>
      <w:lvlText w:val="(%2)"/>
      <w:numFmt w:val="decimal"/>
      <w:start w:val="2"/>
    </w:lvl>
  </w:abstractNum>
  <w:abstractNum w:abstractNumId="7">
    <w:nsid w:val="257130A3"/>
    <w:multiLevelType w:val="hybridMultilevel"/>
    <w:lvl w:ilvl="0">
      <w:lvlJc w:val="left"/>
      <w:lvlText w:val="(%1)"/>
      <w:numFmt w:val="lowerLetter"/>
      <w:start w:val="2"/>
    </w:lvl>
    <w:lvl w:ilvl="1">
      <w:lvlJc w:val="left"/>
      <w:lvlText w:val="%2"/>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2"/>
    </w:lvl>
    <w:lvl w:ilvl="1">
      <w:lvlJc w:val="left"/>
      <w:lvlText w:val="(%2)"/>
      <w:numFmt w:val="lowerLetter"/>
      <w:start w:val="1"/>
    </w:lvl>
  </w:abstractNum>
  <w:abstractNum w:abstractNumId="10">
    <w:nsid w:val="628C895D"/>
    <w:multiLevelType w:val="hybridMultilevel"/>
    <w:lvl w:ilvl="0">
      <w:lvlJc w:val="left"/>
      <w:lvlText w:val="(%1)"/>
      <w:numFmt w:val="lowerLetter"/>
      <w:start w:val="2"/>
    </w:lvl>
    <w:lvl w:ilvl="1">
      <w:lvlJc w:val="left"/>
      <w:lvlText w:val="-"/>
      <w:numFmt w:val="bullet"/>
      <w:start w:val="1"/>
    </w:lvl>
  </w:abstractNum>
  <w:abstractNum w:abstractNumId="11">
    <w:nsid w:val="333AB105"/>
    <w:multiLevelType w:val="hybridMultilevel"/>
    <w:lvl w:ilvl="0">
      <w:lvlJc w:val="left"/>
      <w:lvlText w:val="(%1)"/>
      <w:numFmt w:val="lowerLetter"/>
      <w:start w:val="4"/>
    </w:lvl>
    <w:lvl w:ilvl="1">
      <w:lvlJc w:val="left"/>
      <w:lvlText w:val="-"/>
      <w:numFmt w:val="bullet"/>
      <w:start w:val="1"/>
    </w:lvl>
  </w:abstractNum>
  <w:abstractNum w:abstractNumId="12">
    <w:nsid w:val="721DA317"/>
    <w:multiLevelType w:val="hybridMultilevel"/>
    <w:lvl w:ilvl="0">
      <w:lvlJc w:val="left"/>
      <w:lvlText w:val="%1."/>
      <w:numFmt w:val="decimal"/>
      <w:start w:val="3"/>
    </w:lvl>
    <w:lvl w:ilvl="1">
      <w:lvlJc w:val="left"/>
      <w:lvlText w:val="-"/>
      <w:numFmt w:val="bullet"/>
      <w:start w:val="1"/>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13"/>
    </w:lvl>
    <w:lvl w:ilvl="1">
      <w:lvlJc w:val="left"/>
      <w:lvlText w:val="-"/>
      <w:numFmt w:val="bullet"/>
      <w:start w:val="1"/>
    </w:lvl>
  </w:abstractNum>
  <w:abstractNum w:abstractNumId="15">
    <w:nsid w:val="6763845E"/>
    <w:multiLevelType w:val="hybridMultilevel"/>
    <w:lvl w:ilvl="0">
      <w:lvlJc w:val="left"/>
      <w:lvlText w:val="%1."/>
      <w:numFmt w:val="decimal"/>
      <w:start w:val="1"/>
    </w:lvl>
    <w:lvl w:ilvl="1">
      <w:lvlJc w:val="left"/>
      <w:lvlText w:val="(%2)"/>
      <w:numFmt w:val="lowerLetter"/>
      <w:start w:val="1"/>
    </w:lvl>
  </w:abstractNum>
  <w:abstractNum w:abstractNumId="16">
    <w:nsid w:val="75A2A8D4"/>
    <w:multiLevelType w:val="hybridMultilevel"/>
    <w:lvl w:ilvl="0">
      <w:lvlJc w:val="left"/>
      <w:lvlText w:val="(%1)"/>
      <w:numFmt w:val="upperLetter"/>
      <w:start w:val="1"/>
    </w:lvl>
  </w:abstractNum>
  <w:abstractNum w:abstractNumId="17">
    <w:nsid w:val="8EDBDAB"/>
    <w:multiLevelType w:val="hybridMultilevel"/>
    <w:lvl w:ilvl="0">
      <w:lvlJc w:val="left"/>
      <w:lvlText w:val="(%1)"/>
      <w:numFmt w:val="upperLetter"/>
      <w:start w:val="2"/>
    </w:lvl>
    <w:lvl w:ilvl="1">
      <w:lvlJc w:val="left"/>
      <w:lvlText w:val="(%2)"/>
      <w:numFmt w:val="lowerLetter"/>
      <w:start w:val="2"/>
    </w:lvl>
  </w:abstractNum>
  <w:abstractNum w:abstractNumId="18">
    <w:nsid w:val="79838CB2"/>
    <w:multiLevelType w:val="hybridMultilevel"/>
    <w:lvl w:ilvl="0">
      <w:lvlJc w:val="left"/>
      <w:lvlText w:val="(%1)"/>
      <w:numFmt w:val="lowerLetter"/>
      <w:start w:val="3"/>
    </w:lvl>
  </w:abstractNum>
  <w:abstractNum w:abstractNumId="19">
    <w:nsid w:val="4353D0CD"/>
    <w:multiLevelType w:val="hybridMultilevel"/>
    <w:lvl w:ilvl="0">
      <w:lvlJc w:val="left"/>
      <w:lvlText w:val="(%1)"/>
      <w:numFmt w:val="lowerLetter"/>
      <w:start w:val="4"/>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decimal"/>
      <w:start w:val="8"/>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lowerLetter"/>
      <w:start w:val="3"/>
    </w:lvl>
  </w:abstractNum>
  <w:abstractNum w:abstractNumId="24">
    <w:nsid w:val="2CA88611"/>
    <w:multiLevelType w:val="hybridMultilevel"/>
    <w:lvl w:ilvl="0">
      <w:lvlJc w:val="left"/>
      <w:lvlText w:val="(%1)"/>
      <w:numFmt w:val="lowerLetter"/>
      <w:start w:val="4"/>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decimal"/>
      <w:start w:val="9"/>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1."/>
      <w:numFmt w:val="lowerRoman"/>
      <w:start w:val="2"/>
    </w:lvl>
  </w:abstractNum>
  <w:abstractNum w:abstractNumId="30">
    <w:nsid w:val="7C3DBD3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0"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jpe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19" Type="http://schemas.openxmlformats.org/officeDocument/2006/relationships/hyperlink" Target="http://www.sec.gov/ix?doc=/Archives/edgar/data/0001720592/000119312526098518/rpay-20251231.htm" TargetMode="External"/><Relationship Id="rId20" Type="http://schemas.openxmlformats.org/officeDocument/2006/relationships/hyperlink" Target="http://www.sec.gov/ix?doc=/Archives/edgar/data/0001720592/000119312526197195/rpay-20251231.htm" TargetMode="External"/><Relationship Id="rId21" Type="http://schemas.openxmlformats.org/officeDocument/2006/relationships/hyperlink" Target="http://www.sec.gov/ix?doc=/Archives/edgar/data/0001720592/000119312526204011/rpay-20260331.htm" TargetMode="External"/><Relationship Id="rId22" Type="http://schemas.openxmlformats.org/officeDocument/2006/relationships/hyperlink" Target="http://www.sec.gov/ix?doc=/Archives/edgar/data/0001720592/000119312526048694/rpay-20260210.htm" TargetMode="External"/><Relationship Id="rId23" Type="http://schemas.openxmlformats.org/officeDocument/2006/relationships/hyperlink" Target="http://www.sec.gov/ix?doc=/Archives/edgar/data/0001720592/000119312526071873/rpay-20260219.htm" TargetMode="External"/><Relationship Id="rId24" Type="http://schemas.openxmlformats.org/officeDocument/2006/relationships/hyperlink" Target="http://www.sec.gov/ix?doc=/Archives/edgar/data/0001720592/000119312526133296/rpay-20260330.htm" TargetMode="External"/><Relationship Id="rId25" Type="http://schemas.openxmlformats.org/officeDocument/2006/relationships/hyperlink" Target="http://www.sec.gov/ix?doc=/Archives/edgar/data/0001720592/000119312526153953/d893808d8k.htm" TargetMode="External"/><Relationship Id="rId26" Type="http://schemas.openxmlformats.org/officeDocument/2006/relationships/hyperlink" Target="http://www.sec.gov/ix?doc=/Archives/edgar/data/0001720592/000119312526251442/rpay-20260601.htm" TargetMode="External"/><Relationship Id="rId27" Type="http://schemas.openxmlformats.org/officeDocument/2006/relationships/hyperlink" Target="http://www.sec.gov/ix?doc=/Archives/edgar/data/0001720592/000172059226000002/rpay-20260610.htm" TargetMode="External"/><Relationship Id="rId28" Type="http://schemas.openxmlformats.org/officeDocument/2006/relationships/hyperlink" Target="http://www.sec.gov/ix?doc=/Archives/edgar/data/0001720592/000172059226000004/rpay-20260612.htm" TargetMode="External"/><Relationship Id="rId29" Type="http://schemas.openxmlformats.org/officeDocument/2006/relationships/hyperlink" Target="http://www.sec.gov/Archives/edgar/data/1720592/000121390018007717/f8a12b061518_thunderbridge.htm" TargetMode="External"/><Relationship Id="rId31" Type="http://schemas.openxmlformats.org/officeDocument/2006/relationships/hyperlink" Target="http://www.sec.gov/Archives/edgar/data/1720592/000121390019013004/f8k0719ex3-2_repayhold.htm" TargetMode="External"/><Relationship Id="rId32" Type="http://schemas.openxmlformats.org/officeDocument/2006/relationships/hyperlink" Target="http://www.sec.gov/Archives/edgar/data/1720592/000119312522170564/d359800dex31.htm" TargetMode="External"/><Relationship Id="rId33" Type="http://schemas.openxmlformats.org/officeDocument/2006/relationships/hyperlink" Target="http://www.sec.gov/Archives/edgar/data/1720592/000095017024094030/rpay-ex3_3.htm" TargetMode="External"/><Relationship Id="rId34" Type="http://schemas.openxmlformats.org/officeDocument/2006/relationships/hyperlink" Target="http://www.sec.gov/Archives/edgar/data/1720592/000119312526153953/d893808dex31.htm" TargetMode="External"/><Relationship Id="rId35" Type="http://schemas.openxmlformats.org/officeDocument/2006/relationships/hyperlink" Target="http://www.sec.gov/Archives/edgar/data/1720592/000119312526153953/d8938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2026-06-16T16:15:32Z</dcterms:created>
  <dcterms:modified xsi:type="dcterms:W3CDTF">2026-06-16T16:15:32Z</dcterms:modified>
</cp:coreProperties>
</file>