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rpay-20260610.htm"/>
      <w:bookmarkStart w:id="1" w:name="ksrpay20260610"/>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REPAY HOLDINGS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001-38531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00-0000000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3060 Peachtree Road NW</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Atlanta, Georgia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30305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404</w:t>
            </w:r>
            <w:r>
              <w:rPr>
                <w:rFonts w:ascii="Times New Roman" w:hAnsi="Times New Roman"/>
                <w:color w:val="000000"/>
                <w:sz w:val="20"/>
              </w:rPr>
              <w:t xml:space="preserve"> </w:t>
            </w:r>
            <w:r>
              <w:rPr>
                <w:rFonts w:ascii="Times New Roman" w:hAnsi="Times New Roman"/>
                <w:b/>
                <w:color w:val="000000"/>
                <w:sz w:val="20"/>
              </w:rPr>
              <w:t>504-7472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RPAY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10, 2026, Repay Holdings Corporation (the “Company”) held its annual meeting of the stockholders (the “Annual Meeting”). At the Annual Meeting, the Company’s stockholders approved the Repay Holdings Corporation Third Amended and Restated Omnibus Incentive Plan (the “Third Amended and Restated Plan”). The Third Amended and Restated Plan had previously been approved by the Company’s board of directors on April 30, 2026, subject to stockholder approval. The purpose of the Third Amended and Restated Plan is to: (i) increase the number of shares that may be granted as awards by 2,500,000; (ii) extend the term of the Third Amended and Restated Plan to April 29, 2036; and (iii) make other updates as described further in the Third Amended and Restated Plan. A total of 24,726,728 shares of the Company’s Class A common stock are authorized for issuance under the Third Amended and Restated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 detailed descriptions of the material terms of the Third Amended and Restated Plan are included in the Company’s definitive proxy statement on Schedule 14A filed with the Securities and Exchange Commission (the “SEC”) on May 11, 2026 (the “Proxy Statement”) under the heading “Proposal Three: Approval of the Amendment and Restatement of the Company’s Omnibus Incentive Plan.” The foregoing summary description of the Third Amended and Restated Plan is qualified in its entirety by reference to the actual terms of such plan, which is incorporated herein by reference as Exhibit 10.1.</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both"/>
        <w:rPr>
          <w:rFonts w:ascii="Times New Roman" w:hAnsi="Times New Roman"/>
          <w:color w:val="000000"/>
          <w:sz w:val="20"/>
        </w:rPr>
      </w:pPr>
      <w:r>
        <w:rPr>
          <w:rFonts w:ascii="Times New Roman" w:hAnsi="Times New Roman"/>
          <w:color w:val="000000"/>
          <w:sz w:val="20"/>
        </w:rPr>
        <w:t>Proxies for the Annual Meeting were solicited pursuant to Section 14(a) of the Securities Exchange Act of 1934, as amended. At the Annual Meeting, the Company’s stockholders considered four proposals disclosed in the Company’s Proxy Statement. The final voting results were as follows:</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Proposal 1: Election of Directors for Terms Expiring at the 2027 Annual Meeting of Stockholders.</w:t>
      </w:r>
    </w:p>
    <w:p>
      <w:pPr>
        <w:pStyle w:val="TextBody"/>
        <w:bidi w:val="0"/>
        <w:jc w:val="left"/>
        <w:rPr/>
      </w:pPr>
      <w:r>
        <w:rPr/>
        <w:t> </w:t>
      </w:r>
    </w:p>
    <w:tbl>
      <w:tblPr>
        <w:tblW w:w="6754" w:type="dxa"/>
        <w:jc w:val="left"/>
        <w:tblInd w:w="0" w:type="dxa"/>
        <w:tblLayout w:type="fixed"/>
        <w:tblCellMar>
          <w:top w:w="28" w:type="dxa"/>
          <w:left w:w="28" w:type="dxa"/>
          <w:bottom w:w="28" w:type="dxa"/>
          <w:right w:w="28" w:type="dxa"/>
        </w:tblCellMar>
      </w:tblPr>
      <w:tblGrid>
        <w:gridCol w:w="1996"/>
        <w:gridCol w:w="1576"/>
        <w:gridCol w:w="1501"/>
        <w:gridCol w:w="1681"/>
      </w:tblGrid>
      <w:tr>
        <w:trPr/>
        <w:tc>
          <w:tcPr>
            <w:tcW w:w="199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Shares Voted For</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Shares Withheld</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Broker Non-Votes</w:t>
            </w:r>
          </w:p>
        </w:tc>
      </w:tr>
      <w:tr>
        <w:trPr/>
        <w:tc>
          <w:tcPr>
            <w:tcW w:w="19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Paul R. Garcia</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50,647,150</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28,603,800</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5,888,994</w:t>
            </w:r>
          </w:p>
        </w:tc>
      </w:tr>
      <w:tr>
        <w:trPr/>
        <w:tc>
          <w:tcPr>
            <w:tcW w:w="19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Maryann Goebel</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50,731,863</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28,519,087</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5,888,994</w:t>
            </w:r>
          </w:p>
        </w:tc>
      </w:tr>
      <w:tr>
        <w:trPr/>
        <w:tc>
          <w:tcPr>
            <w:tcW w:w="19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Peter J. Kight</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50,193,176</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29,057,774</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5,888,994</w:t>
            </w:r>
          </w:p>
        </w:tc>
      </w:tr>
      <w:tr>
        <w:trPr/>
        <w:tc>
          <w:tcPr>
            <w:tcW w:w="19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John Morris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50,732,737</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28,518,213</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5,888,994</w:t>
            </w:r>
          </w:p>
        </w:tc>
      </w:tr>
      <w:tr>
        <w:trPr/>
        <w:tc>
          <w:tcPr>
            <w:tcW w:w="19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Emnet Rios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50,747,059</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28,503,891</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5,888,994</w:t>
            </w:r>
          </w:p>
        </w:tc>
      </w:tr>
      <w:tr>
        <w:trPr/>
        <w:tc>
          <w:tcPr>
            <w:tcW w:w="19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Richard E. Thornburgh</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50,195,764</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29,055,186</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5,888,994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each nominee was elected to serve as a director for a term expiring at the 2027 annual meeting of stockholders.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Proposal 2: Advisory Vote on Executive Compensation.</w:t>
      </w:r>
    </w:p>
    <w:p>
      <w:pPr>
        <w:pStyle w:val="TextBody"/>
        <w:bidi w:val="0"/>
        <w:jc w:val="left"/>
        <w:rPr/>
      </w:pPr>
      <w:r>
        <w:rPr/>
        <w:t> </w:t>
      </w:r>
    </w:p>
    <w:tbl>
      <w:tblPr>
        <w:tblW w:w="6121" w:type="dxa"/>
        <w:jc w:val="left"/>
        <w:tblInd w:w="0" w:type="dxa"/>
        <w:tblLayout w:type="fixed"/>
        <w:tblCellMar>
          <w:top w:w="28" w:type="dxa"/>
          <w:left w:w="28" w:type="dxa"/>
          <w:bottom w:w="28" w:type="dxa"/>
          <w:right w:w="28" w:type="dxa"/>
        </w:tblCellMar>
      </w:tblPr>
      <w:tblGrid>
        <w:gridCol w:w="564"/>
        <w:gridCol w:w="511"/>
        <w:gridCol w:w="515"/>
        <w:gridCol w:w="634"/>
        <w:gridCol w:w="634"/>
        <w:gridCol w:w="637"/>
        <w:gridCol w:w="315"/>
        <w:gridCol w:w="315"/>
        <w:gridCol w:w="316"/>
        <w:gridCol w:w="507"/>
        <w:gridCol w:w="507"/>
        <w:gridCol w:w="666"/>
      </w:tblGrid>
      <w:tr>
        <w:trPr/>
        <w:tc>
          <w:tcPr>
            <w:tcW w:w="56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56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Shares Voted For</w:t>
            </w:r>
          </w:p>
        </w:tc>
        <w:tc>
          <w:tcPr>
            <w:tcW w:w="190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Shares Voted Against</w:t>
            </w:r>
          </w:p>
        </w:tc>
        <w:tc>
          <w:tcPr>
            <w:tcW w:w="946"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Abstained</w:t>
            </w:r>
          </w:p>
        </w:tc>
        <w:tc>
          <w:tcPr>
            <w:tcW w:w="168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Broker Non-Votes</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36,772,506</w:t>
            </w:r>
          </w:p>
        </w:tc>
        <w:tc>
          <w:tcPr>
            <w:tcW w:w="190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32,764,335</w:t>
            </w:r>
          </w:p>
        </w:tc>
        <w:tc>
          <w:tcPr>
            <w:tcW w:w="946"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9,714,109</w:t>
            </w:r>
          </w:p>
        </w:tc>
        <w:tc>
          <w:tcPr>
            <w:tcW w:w="168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5,888,994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the Company’s stockholders approved, on a non-binding advisory basis, the compensation of the Company’s named executive officers.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Proposal 3: Approval of an Amendment and Restatement of the Omnibus Incentive Plan.</w:t>
      </w:r>
    </w:p>
    <w:p>
      <w:pPr>
        <w:pStyle w:val="TextBody"/>
        <w:bidi w:val="0"/>
        <w:jc w:val="left"/>
        <w:rPr/>
      </w:pPr>
      <w:r>
        <w:rPr/>
        <w:t> </w:t>
      </w:r>
    </w:p>
    <w:tbl>
      <w:tblPr>
        <w:tblW w:w="6124" w:type="dxa"/>
        <w:jc w:val="left"/>
        <w:tblInd w:w="0" w:type="dxa"/>
        <w:tblLayout w:type="fixed"/>
        <w:tblCellMar>
          <w:top w:w="28" w:type="dxa"/>
          <w:left w:w="28" w:type="dxa"/>
          <w:bottom w:w="28" w:type="dxa"/>
          <w:right w:w="28" w:type="dxa"/>
        </w:tblCellMar>
      </w:tblPr>
      <w:tblGrid>
        <w:gridCol w:w="1591"/>
        <w:gridCol w:w="1906"/>
        <w:gridCol w:w="946"/>
        <w:gridCol w:w="1681"/>
      </w:tblGrid>
      <w:tr>
        <w:trPr/>
        <w:tc>
          <w:tcPr>
            <w:tcW w:w="159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Shares Voted For</w:t>
            </w:r>
          </w:p>
        </w:tc>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Shares Voted Against</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Abstained</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Broker Non-Votes</w:t>
            </w:r>
          </w:p>
        </w:tc>
      </w:tr>
      <w:tr>
        <w:trPr/>
        <w:tc>
          <w:tcPr>
            <w:tcW w:w="1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46,757,481</w:t>
            </w:r>
          </w:p>
        </w:tc>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23,566,539</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8,926,930</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5,888,994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the Company’s stockholders approved the Third Amended and Restated Omnibus Incentive Plan.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Proposal 4: Ratification of the Audit Committee’s Appointment of Grant Thornton, LLP as the Independent Registered Public Accountant.</w:t>
      </w:r>
    </w:p>
    <w:p>
      <w:pPr>
        <w:pStyle w:val="TextBody"/>
        <w:bidi w:val="0"/>
        <w:jc w:val="left"/>
        <w:rPr/>
      </w:pPr>
      <w:r>
        <w:rPr/>
        <w:t> </w:t>
      </w:r>
    </w:p>
    <w:tbl>
      <w:tblPr>
        <w:tblW w:w="4486" w:type="dxa"/>
        <w:jc w:val="left"/>
        <w:tblInd w:w="0" w:type="dxa"/>
        <w:tblLayout w:type="fixed"/>
        <w:tblCellMar>
          <w:top w:w="28" w:type="dxa"/>
          <w:left w:w="28" w:type="dxa"/>
          <w:bottom w:w="28" w:type="dxa"/>
          <w:right w:w="28" w:type="dxa"/>
        </w:tblCellMar>
      </w:tblPr>
      <w:tblGrid>
        <w:gridCol w:w="564"/>
        <w:gridCol w:w="511"/>
        <w:gridCol w:w="515"/>
        <w:gridCol w:w="634"/>
        <w:gridCol w:w="634"/>
        <w:gridCol w:w="637"/>
        <w:gridCol w:w="299"/>
        <w:gridCol w:w="299"/>
        <w:gridCol w:w="393"/>
      </w:tblGrid>
      <w:tr>
        <w:trPr/>
        <w:tc>
          <w:tcPr>
            <w:tcW w:w="56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6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Shares Voted For</w:t>
            </w:r>
          </w:p>
        </w:tc>
        <w:tc>
          <w:tcPr>
            <w:tcW w:w="190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Shares Voted Against</w:t>
            </w:r>
          </w:p>
        </w:tc>
        <w:tc>
          <w:tcPr>
            <w:tcW w:w="991"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Abstained</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84,658,413</w:t>
            </w:r>
          </w:p>
        </w:tc>
        <w:tc>
          <w:tcPr>
            <w:tcW w:w="190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445,177</w:t>
            </w:r>
          </w:p>
        </w:tc>
        <w:tc>
          <w:tcPr>
            <w:tcW w:w="991"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36,354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the Company’s stockholders ratified the selection of Grant Thornton, LLP as the Company’s independent registered public accounting firm for the fiscal year ending December 31, 2026.</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8"/>
        <w:gridCol w:w="306"/>
        <w:gridCol w:w="230"/>
        <w:gridCol w:w="146"/>
        <w:gridCol w:w="9185"/>
      </w:tblGrid>
      <w:tr>
        <w:trPr/>
        <w:tc>
          <w:tcPr>
            <w:tcW w:w="3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5" w:type="dxa"/>
            <w:tcBorders/>
            <w:vAlign w:val="center"/>
          </w:tcPr>
          <w:p>
            <w:pPr>
              <w:pStyle w:val="TableContents"/>
              <w:bidi w:val="0"/>
              <w:spacing w:before="0" w:after="283"/>
              <w:jc w:val="left"/>
              <w:rPr>
                <w:sz w:val="4"/>
                <w:szCs w:val="4"/>
              </w:rPr>
            </w:pPr>
            <w:r>
              <w:rPr>
                <w:sz w:val="4"/>
                <w:szCs w:val="4"/>
              </w:rPr>
            </w:r>
          </w:p>
        </w:tc>
      </w:tr>
      <w:tr>
        <w:trPr/>
        <w:tc>
          <w:tcPr>
            <w:tcW w:w="874" w:type="dxa"/>
            <w:gridSpan w:val="3"/>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5"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"https://www.sec.gov/ix?doc=/Archives/edgar/data/0001720592/000119312526215760/rpay-20260511.htm" \l "annex_a"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Third Amended and Restated Repay Holdings Corporation Omnibus Incentive Plan (as Amended and Restated Effective as of June 10, 2026) (incorporated by reference to Annex A to the Company's proxy statement (File No. 001-38531), filed with the SEC on May 11, 2026).</w:t>
            </w:r>
            <w:r>
              <w:rPr>
                <w:rStyle w:val="InternetLink"/>
                <w:sz w:val="20"/>
                <w:u w:val="single"/>
                <w:rFonts w:ascii="Times New Roman" w:hAnsi="Times New Roman"/>
                <w:color w:val="0000FF"/>
              </w:rPr>
              <w:fldChar w:fldCharType="end"/>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338" w:type="dxa"/>
            <w:tcBorders/>
            <w:tcMar>
              <w:top w:w="0" w:type="dxa"/>
              <w:left w:w="0" w:type="dxa"/>
              <w:bottom w:w="0" w:type="dxa"/>
              <w:right w:w="0" w:type="dxa"/>
            </w:tcMar>
            <w:vAlign w:val="center"/>
          </w:tcPr>
          <w:p>
            <w:pPr>
              <w:pStyle w:val="TableContents"/>
              <w:bidi w:val="0"/>
              <w:spacing w:before="0" w:after="283"/>
              <w:jc w:val="both"/>
              <w:rPr/>
            </w:pPr>
            <w:r>
              <w:rPr/>
              <w:t> </w:t>
            </w:r>
          </w:p>
        </w:tc>
        <w:tc>
          <w:tcPr>
            <w:tcW w:w="30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561" w:type="dxa"/>
            <w:gridSpan w:val="3"/>
            <w:tcBorders/>
            <w:tcMar>
              <w:top w:w="0" w:type="dxa"/>
              <w:left w:w="0" w:type="dxa"/>
              <w:bottom w:w="0" w:type="dxa"/>
              <w:right w:w="0" w:type="dxa"/>
            </w:tcMar>
            <w:vAlign w:val="center"/>
          </w:tcPr>
          <w:p>
            <w:pPr>
              <w:pStyle w:val="TableContents"/>
              <w:bidi w:val="0"/>
              <w:spacing w:before="120" w:after="283"/>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49" w:type="dxa"/>
        <w:jc w:val="left"/>
        <w:tblInd w:w="0" w:type="dxa"/>
        <w:tblLayout w:type="fixed"/>
        <w:tblCellMar>
          <w:top w:w="28" w:type="dxa"/>
          <w:left w:w="28" w:type="dxa"/>
          <w:bottom w:w="28" w:type="dxa"/>
          <w:right w:w="28" w:type="dxa"/>
        </w:tblCellMar>
      </w:tblPr>
      <w:tblGrid>
        <w:gridCol w:w="556"/>
        <w:gridCol w:w="1246"/>
        <w:gridCol w:w="451"/>
        <w:gridCol w:w="349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Repay Holdings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12,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4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Tyler B. Dempsey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Tyler B. Dempsey</w:t>
              <w:br/>
              <w:t>General Counsel and 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958</Words>
  <Characters>5401</Characters>
  <CharactersWithSpaces>6334</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