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3100"/>
        <w:spacing w:after="0" w:line="268" w:lineRule="auto"/>
        <w:rPr>
          <w:sz w:val="20"/>
          <w:szCs w:val="20"/>
          <w:color w:val="auto"/>
        </w:rPr>
      </w:pPr>
      <w:r>
        <w:rPr>
          <w:rFonts w:ascii="Times New Roman" w:cs="Times New Roman" w:eastAsia="Times New Roman" w:hAnsi="Times New Roman"/>
          <w:sz w:val="40"/>
          <w:szCs w:val="40"/>
          <w:color w:val="auto"/>
        </w:rPr>
        <w:drawing>
          <wp:anchor simplePos="0" relativeHeight="251657728" behindDoc="1" locked="0" layoutInCell="0" allowOverlap="1">
            <wp:simplePos x="0" y="0"/>
            <wp:positionH relativeFrom="page">
              <wp:posOffset>189865</wp:posOffset>
            </wp:positionH>
            <wp:positionV relativeFrom="page">
              <wp:posOffset>139065</wp:posOffset>
            </wp:positionV>
            <wp:extent cx="716915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41275"/>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421640</wp:posOffset>
            </wp:positionV>
            <wp:extent cx="716915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41275"/>
                    </a:xfrm>
                    <a:prstGeom prst="rect">
                      <a:avLst/>
                    </a:prstGeom>
                    <a:noFill/>
                  </pic:spPr>
                </pic:pic>
              </a:graphicData>
            </a:graphic>
          </wp:anchor>
        </w:drawing>
        <w:t>SECURITIES AND EXCHANGE COMMISSION Washington, D.C. 20549</w:t>
      </w:r>
    </w:p>
    <w:p>
      <w:pPr>
        <w:spacing w:after="0" w:line="38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0"/>
          <w:szCs w:val="30"/>
          <w:color w:val="auto"/>
        </w:rPr>
        <w:t>SCHEDULE 13D</w:t>
      </w:r>
    </w:p>
    <w:p>
      <w:pPr>
        <w:spacing w:after="0" w:line="2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4"/>
          <w:szCs w:val="24"/>
          <w:color w:val="auto"/>
        </w:rPr>
        <w:t>Under the Securities Exchange Act of 1934</w:t>
      </w:r>
    </w:p>
    <w:p>
      <w:pPr>
        <w:spacing w:after="0" w:line="21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 xml:space="preserve">(Amendment No. </w:t>
      </w:r>
      <w:r>
        <w:rPr>
          <w:rFonts w:ascii="Times New Roman" w:cs="Times New Roman" w:eastAsia="Times New Roman" w:hAnsi="Times New Roman"/>
          <w:sz w:val="20"/>
          <w:szCs w:val="20"/>
          <w:b w:val="1"/>
          <w:bCs w:val="1"/>
          <w:color w:val="0000FF"/>
        </w:rPr>
        <w:t>7</w:t>
      </w:r>
      <w:r>
        <w:rPr>
          <w:rFonts w:ascii="Times New Roman" w:cs="Times New Roman" w:eastAsia="Times New Roman" w:hAnsi="Times New Roman"/>
          <w:sz w:val="20"/>
          <w:szCs w:val="20"/>
          <w:b w:val="1"/>
          <w:bCs w:val="1"/>
          <w:color w:val="auto"/>
        </w:rPr>
        <w:t>)*</w:t>
      </w:r>
    </w:p>
    <w:p>
      <w:pPr>
        <w:spacing w:after="0" w:line="200" w:lineRule="exact"/>
        <w:rPr>
          <w:sz w:val="24"/>
          <w:szCs w:val="24"/>
          <w:color w:val="auto"/>
        </w:rPr>
      </w:pPr>
    </w:p>
    <w:p>
      <w:pPr>
        <w:spacing w:after="0" w:line="28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Repay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557593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9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(Name of Issuer)</w:t>
      </w:r>
    </w:p>
    <w:p>
      <w:pPr>
        <w:spacing w:after="0" w:line="200" w:lineRule="exact"/>
        <w:rPr>
          <w:sz w:val="24"/>
          <w:szCs w:val="24"/>
          <w:color w:val="auto"/>
        </w:rPr>
      </w:pPr>
    </w:p>
    <w:p>
      <w:pPr>
        <w:spacing w:after="0" w:line="28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557593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95"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377825</wp:posOffset>
            </wp:positionV>
            <wp:extent cx="557593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(CUSIP Number)</w:t>
      </w:r>
    </w:p>
    <w:p>
      <w:pPr>
        <w:spacing w:after="0" w:line="200" w:lineRule="exact"/>
        <w:rPr>
          <w:sz w:val="24"/>
          <w:szCs w:val="24"/>
          <w:color w:val="auto"/>
        </w:rPr>
      </w:pPr>
    </w:p>
    <w:p>
      <w:pPr>
        <w:spacing w:after="0" w:line="28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Repay Holdings Corp</w:t>
      </w:r>
    </w:p>
    <w:p>
      <w:pPr>
        <w:spacing w:after="0" w:line="1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2025 3rd Avenue North, Suite 350</w:t>
      </w:r>
    </w:p>
    <w:p>
      <w:pPr>
        <w:jc w:val="center"/>
        <w:ind w:right="2420"/>
        <w:spacing w:after="0" w:line="232" w:lineRule="auto"/>
        <w:rPr>
          <w:sz w:val="20"/>
          <w:szCs w:val="20"/>
          <w:color w:val="auto"/>
        </w:rPr>
      </w:pPr>
      <w:r>
        <w:rPr>
          <w:rFonts w:ascii="Times New Roman" w:cs="Times New Roman" w:eastAsia="Times New Roman" w:hAnsi="Times New Roman"/>
          <w:sz w:val="20"/>
          <w:szCs w:val="20"/>
          <w:b w:val="1"/>
          <w:bCs w:val="1"/>
          <w:color w:val="0000FF"/>
        </w:rPr>
        <w:t>Birmingham, AL, 35203</w:t>
      </w: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(205) 383-4763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47625</wp:posOffset>
            </wp:positionV>
            <wp:extent cx="557593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6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9"/>
          <w:szCs w:val="19"/>
          <w:b w:val="1"/>
          <w:bCs w:val="1"/>
          <w:color w:val="auto"/>
        </w:rPr>
        <w:t>(Name, Address and Telephone Number of Person Authorized to Receive Notices and Communications)</w:t>
      </w:r>
    </w:p>
    <w:p>
      <w:pPr>
        <w:spacing w:after="0" w:line="54"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557593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9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20"/>
          <w:szCs w:val="20"/>
          <w:b w:val="1"/>
          <w:bCs w:val="1"/>
          <w:color w:val="auto"/>
        </w:rPr>
        <w:t>(Date of Event Which Requires Filing of This Statement)</w:t>
      </w:r>
    </w:p>
    <w:p>
      <w:pPr>
        <w:spacing w:after="0" w:line="200" w:lineRule="exact"/>
        <w:rPr>
          <w:sz w:val="24"/>
          <w:szCs w:val="24"/>
          <w:color w:val="auto"/>
        </w:rPr>
      </w:pPr>
    </w:p>
    <w:p>
      <w:pPr>
        <w:spacing w:after="0" w:line="279"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17475" cy="1174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p>
    <w:p>
      <w:pPr>
        <w:spacing w:after="0" w:line="155"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40640</wp:posOffset>
            </wp:positionV>
            <wp:extent cx="716915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15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119380</wp:posOffset>
            </wp:positionV>
            <wp:extent cx="716915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4"/>
          <w:szCs w:val="24"/>
          <w:color w:val="auto"/>
        </w:rPr>
        <w:t>SCHEDULE 13D</w:t>
      </w:r>
    </w:p>
    <w:p>
      <w:pPr>
        <w:spacing w:after="0" w:line="2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CUSIP No.</w:t>
      </w:r>
    </w:p>
    <w:p>
      <w:pPr>
        <w:spacing w:after="0" w:line="200" w:lineRule="exact"/>
        <w:rPr>
          <w:sz w:val="24"/>
          <w:szCs w:val="24"/>
          <w:color w:val="auto"/>
        </w:rPr>
      </w:pPr>
    </w:p>
    <w:p>
      <w:pPr>
        <w:spacing w:after="0" w:line="316"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1</w:t>
      </w:r>
    </w:p>
    <w:p>
      <w:pPr>
        <w:ind w:left="1060"/>
        <w:spacing w:after="0"/>
        <w:rPr>
          <w:sz w:val="20"/>
          <w:szCs w:val="20"/>
          <w:color w:val="auto"/>
        </w:rPr>
      </w:pPr>
      <w:r>
        <w:rPr>
          <w:rFonts w:ascii="Times New Roman" w:cs="Times New Roman" w:eastAsia="Times New Roman" w:hAnsi="Times New Roman"/>
          <w:sz w:val="20"/>
          <w:szCs w:val="20"/>
          <w:color w:val="auto"/>
        </w:rPr>
        <w:t>Forager Fund, L.P.</w:t>
      </w:r>
    </w:p>
    <w:p>
      <w:pPr>
        <w:spacing w:after="0" w:line="20"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4" w:lineRule="exact"/>
        <w:rPr>
          <w:sz w:val="24"/>
          <w:szCs w:val="24"/>
          <w:color w:val="auto"/>
        </w:rPr>
      </w:pPr>
    </w:p>
    <w:p>
      <w:pPr>
        <w:ind w:left="1060" w:hanging="1024"/>
        <w:spacing w:after="0"/>
        <w:tabs>
          <w:tab w:leader="none" w:pos="1060" w:val="left"/>
        </w:tabs>
        <w:numPr>
          <w:ilvl w:val="0"/>
          <w:numId w:val="1"/>
        </w:numPr>
        <w:rPr>
          <w:rFonts w:ascii="Times New Roman" w:cs="Times New Roman" w:eastAsia="Times New Roman" w:hAnsi="Times New Roman"/>
          <w:sz w:val="40"/>
          <w:szCs w:val="40"/>
          <w:color w:val="auto"/>
          <w:vertAlign w:val="superscript"/>
        </w:rPr>
      </w:pPr>
      <w:r>
        <w:rPr>
          <w:sz w:val="1"/>
          <w:szCs w:val="1"/>
          <w:color w:val="auto"/>
        </w:rPr>
        <w:drawing>
          <wp:inline distT="0" distB="0" distL="0" distR="0">
            <wp:extent cx="117475" cy="117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ind w:left="1060"/>
        <w:spacing w:after="0"/>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7475" cy="1174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pacing w:after="0" w:line="29" w:lineRule="exact"/>
        <w:rPr>
          <w:sz w:val="24"/>
          <w:szCs w:val="24"/>
          <w:color w:val="auto"/>
        </w:rPr>
      </w:pPr>
    </w:p>
    <w:p>
      <w:pPr>
        <w:ind w:left="1060" w:hanging="1024"/>
        <w:spacing w:after="0"/>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4</w:t>
      </w:r>
    </w:p>
    <w:p>
      <w:pPr>
        <w:ind w:left="1060"/>
        <w:spacing w:after="0"/>
        <w:rPr>
          <w:sz w:val="20"/>
          <w:szCs w:val="20"/>
          <w:color w:val="auto"/>
        </w:rPr>
      </w:pPr>
      <w:r>
        <w:rPr>
          <w:rFonts w:ascii="Times New Roman" w:cs="Times New Roman" w:eastAsia="Times New Roman" w:hAnsi="Times New Roman"/>
          <w:sz w:val="20"/>
          <w:szCs w:val="20"/>
          <w:color w:val="auto"/>
        </w:rPr>
        <w:t>WC</w:t>
      </w:r>
    </w:p>
    <w:p>
      <w:pPr>
        <w:sectPr>
          <w:pgSz w:w="11900" w:h="16838" w:orient="portrait"/>
          <w:cols w:equalWidth="0" w:num="1">
            <w:col w:w="11240"/>
          </w:cols>
          <w:pgMar w:left="320" w:top="80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w:t>
      </w:r>
    </w:p>
    <w:p>
      <w:pPr>
        <w:spacing w:after="0"/>
        <w:rPr>
          <w:sz w:val="20"/>
          <w:szCs w:val="20"/>
          <w:color w:val="auto"/>
        </w:rPr>
      </w:pPr>
      <w:r>
        <w:rPr>
          <w:rFonts w:ascii="Times New Roman" w:cs="Times New Roman" w:eastAsia="Times New Roman" w:hAnsi="Times New Roman"/>
          <w:sz w:val="19"/>
          <w:szCs w:val="19"/>
          <w:color w:val="auto"/>
        </w:rPr>
        <w:t>Beneficially</w:t>
      </w:r>
    </w:p>
    <w:p>
      <w:pPr>
        <w:spacing w:after="0" w:line="236" w:lineRule="auto"/>
        <w:rPr>
          <w:sz w:val="20"/>
          <w:szCs w:val="20"/>
          <w:color w:val="auto"/>
        </w:rPr>
      </w:pPr>
      <w:r>
        <w:rPr>
          <w:rFonts w:ascii="Times New Roman" w:cs="Times New Roman" w:eastAsia="Times New Roman" w:hAnsi="Times New Roman"/>
          <w:sz w:val="20"/>
          <w:szCs w:val="20"/>
          <w:color w:val="auto"/>
        </w:rPr>
        <w:t>Owned by</w:t>
      </w:r>
    </w:p>
    <w:p>
      <w:pPr>
        <w:spacing w:after="0" w:line="232" w:lineRule="auto"/>
        <w:rPr>
          <w:sz w:val="20"/>
          <w:szCs w:val="20"/>
          <w:color w:val="auto"/>
        </w:rPr>
      </w:pPr>
      <w:r>
        <w:rPr>
          <w:rFonts w:ascii="Times New Roman" w:cs="Times New Roman" w:eastAsia="Times New Roman" w:hAnsi="Times New Roman"/>
          <w:sz w:val="20"/>
          <w:szCs w:val="20"/>
          <w:color w:val="auto"/>
        </w:rPr>
        <w:t>Each</w:t>
      </w:r>
    </w:p>
    <w:p>
      <w:pPr>
        <w:spacing w:after="0" w:line="232" w:lineRule="auto"/>
        <w:rPr>
          <w:sz w:val="20"/>
          <w:szCs w:val="20"/>
          <w:color w:val="auto"/>
        </w:rPr>
      </w:pPr>
      <w:r>
        <w:rPr>
          <w:rFonts w:ascii="Times New Roman" w:cs="Times New Roman" w:eastAsia="Times New Roman" w:hAnsi="Times New Roman"/>
          <w:sz w:val="20"/>
          <w:szCs w:val="20"/>
          <w:color w:val="auto"/>
        </w:rPr>
        <w:t>Reporting</w:t>
      </w:r>
    </w:p>
    <w:p>
      <w:pPr>
        <w:spacing w:after="0" w:line="233" w:lineRule="auto"/>
        <w:rPr>
          <w:sz w:val="20"/>
          <w:szCs w:val="20"/>
          <w:color w:val="auto"/>
        </w:rPr>
      </w:pPr>
      <w:r>
        <w:rPr>
          <w:rFonts w:ascii="Times New Roman" w:cs="Times New Roman" w:eastAsia="Times New Roman" w:hAnsi="Times New Roman"/>
          <w:sz w:val="20"/>
          <w:szCs w:val="20"/>
          <w:color w:val="auto"/>
        </w:rPr>
        <w:t>Person</w:t>
      </w:r>
    </w:p>
    <w:p>
      <w:pPr>
        <w:spacing w:after="0"/>
        <w:rPr>
          <w:sz w:val="20"/>
          <w:szCs w:val="20"/>
          <w:color w:val="auto"/>
        </w:rPr>
      </w:pPr>
      <w:r>
        <w:rPr>
          <w:rFonts w:ascii="Times New Roman" w:cs="Times New Roman" w:eastAsia="Times New Roman" w:hAnsi="Times New Roman"/>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117475" cy="11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11,106,548.00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11,106,548.00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11,106,548.00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PN</w:t>
      </w:r>
    </w:p>
    <w:p>
      <w:pPr>
        <w:spacing w:after="0" w:line="200" w:lineRule="exact"/>
        <w:rPr>
          <w:sz w:val="20"/>
          <w:szCs w:val="20"/>
          <w:color w:val="auto"/>
        </w:rPr>
      </w:pPr>
    </w:p>
    <w:p>
      <w:pPr>
        <w:sectPr>
          <w:pgSz w:w="11900" w:h="16838" w:orient="portrait"/>
          <w:cols w:equalWidth="0" w:num="2">
            <w:col w:w="960" w:space="60"/>
            <w:col w:w="9079"/>
          </w:cols>
          <w:pgMar w:left="36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SCHEDULE 13D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CUSIP No.</w:t>
      </w:r>
    </w:p>
    <w:p>
      <w:pPr>
        <w:spacing w:after="0" w:line="200" w:lineRule="exact"/>
        <w:rPr>
          <w:sz w:val="20"/>
          <w:szCs w:val="20"/>
          <w:color w:val="auto"/>
        </w:rPr>
      </w:pPr>
    </w:p>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ind w:left="1020"/>
        <w:spacing w:after="0"/>
        <w:rPr>
          <w:sz w:val="20"/>
          <w:szCs w:val="20"/>
          <w:color w:val="auto"/>
        </w:rPr>
      </w:pPr>
      <w:r>
        <w:rPr>
          <w:rFonts w:ascii="Times New Roman" w:cs="Times New Roman" w:eastAsia="Times New Roman" w:hAnsi="Times New Roman"/>
          <w:sz w:val="20"/>
          <w:szCs w:val="20"/>
          <w:color w:val="auto"/>
        </w:rPr>
        <w:t>Forager Capital Management, LLC</w:t>
      </w:r>
    </w:p>
    <w:p>
      <w:pPr>
        <w:spacing w:after="0" w:line="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ectPr>
          <w:pgSz w:w="11900" w:h="16838" w:orient="portrait"/>
          <w:cols w:equalWidth="0" w:num="1">
            <w:col w:w="10099"/>
          </w:cols>
          <w:pgMar w:left="360" w:top="114" w:right="1440" w:bottom="0" w:gutter="0" w:footer="0" w:header="0"/>
          <w:type w:val="continuous"/>
        </w:sectPr>
      </w:pP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w:t>
      </w:r>
    </w:p>
    <w:p>
      <w:pPr>
        <w:spacing w:after="0"/>
        <w:rPr>
          <w:sz w:val="20"/>
          <w:szCs w:val="20"/>
          <w:color w:val="auto"/>
        </w:rPr>
      </w:pPr>
      <w:r>
        <w:rPr>
          <w:rFonts w:ascii="Times New Roman" w:cs="Times New Roman" w:eastAsia="Times New Roman" w:hAnsi="Times New Roman"/>
          <w:sz w:val="19"/>
          <w:szCs w:val="19"/>
          <w:color w:val="auto"/>
        </w:rPr>
        <w:t>Beneficially</w:t>
      </w:r>
    </w:p>
    <w:p>
      <w:pPr>
        <w:spacing w:after="0" w:line="236" w:lineRule="auto"/>
        <w:rPr>
          <w:sz w:val="20"/>
          <w:szCs w:val="20"/>
          <w:color w:val="auto"/>
        </w:rPr>
      </w:pPr>
      <w:r>
        <w:rPr>
          <w:rFonts w:ascii="Times New Roman" w:cs="Times New Roman" w:eastAsia="Times New Roman" w:hAnsi="Times New Roman"/>
          <w:sz w:val="20"/>
          <w:szCs w:val="20"/>
          <w:color w:val="auto"/>
        </w:rPr>
        <w:t>Owned by</w:t>
      </w:r>
    </w:p>
    <w:p>
      <w:pPr>
        <w:spacing w:after="0" w:line="232" w:lineRule="auto"/>
        <w:rPr>
          <w:sz w:val="20"/>
          <w:szCs w:val="20"/>
          <w:color w:val="auto"/>
        </w:rPr>
      </w:pPr>
      <w:r>
        <w:rPr>
          <w:rFonts w:ascii="Times New Roman" w:cs="Times New Roman" w:eastAsia="Times New Roman" w:hAnsi="Times New Roman"/>
          <w:sz w:val="20"/>
          <w:szCs w:val="20"/>
          <w:color w:val="auto"/>
        </w:rPr>
        <w:t>Each</w:t>
      </w:r>
    </w:p>
    <w:p>
      <w:pPr>
        <w:spacing w:after="0" w:line="232" w:lineRule="auto"/>
        <w:rPr>
          <w:sz w:val="20"/>
          <w:szCs w:val="20"/>
          <w:color w:val="auto"/>
        </w:rPr>
      </w:pPr>
      <w:r>
        <w:rPr>
          <w:rFonts w:ascii="Times New Roman" w:cs="Times New Roman" w:eastAsia="Times New Roman" w:hAnsi="Times New Roman"/>
          <w:sz w:val="20"/>
          <w:szCs w:val="20"/>
          <w:color w:val="auto"/>
        </w:rPr>
        <w:t>Reporting</w:t>
      </w:r>
    </w:p>
    <w:p>
      <w:pPr>
        <w:spacing w:after="0" w:line="233" w:lineRule="auto"/>
        <w:rPr>
          <w:sz w:val="20"/>
          <w:szCs w:val="20"/>
          <w:color w:val="auto"/>
        </w:rPr>
      </w:pPr>
      <w:r>
        <w:rPr>
          <w:rFonts w:ascii="Times New Roman" w:cs="Times New Roman" w:eastAsia="Times New Roman" w:hAnsi="Times New Roman"/>
          <w:sz w:val="20"/>
          <w:szCs w:val="20"/>
          <w:color w:val="auto"/>
        </w:rPr>
        <w:t>Person</w:t>
      </w:r>
    </w:p>
    <w:p>
      <w:pPr>
        <w:spacing w:after="0"/>
        <w:rPr>
          <w:sz w:val="20"/>
          <w:szCs w:val="20"/>
          <w:color w:val="auto"/>
        </w:rPr>
      </w:pPr>
      <w:r>
        <w:rPr>
          <w:rFonts w:ascii="Times New Roman" w:cs="Times New Roman" w:eastAsia="Times New Roman" w:hAnsi="Times New Roman"/>
          <w:sz w:val="20"/>
          <w:szCs w:val="20"/>
          <w:color w:val="auto"/>
        </w:rPr>
        <w:t>With:</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spacing w:after="0" w:line="1" w:lineRule="exact"/>
        <w:rPr>
          <w:sz w:val="20"/>
          <w:szCs w:val="20"/>
          <w:color w:val="auto"/>
        </w:rPr>
      </w:pPr>
    </w:p>
    <w:p>
      <w:pPr>
        <w:sectPr>
          <w:pgSz w:w="11900" w:h="16838" w:orient="portrait"/>
          <w:cols w:equalWidth="0" w:num="2">
            <w:col w:w="960" w:space="60"/>
            <w:col w:w="9079"/>
          </w:cols>
          <w:pgMar w:left="360" w:top="114" w:right="1440" w:bottom="0" w:gutter="0" w:footer="0" w:header="0"/>
          <w:type w:val="continuous"/>
        </w:sectPr>
      </w:pPr>
    </w:p>
    <w:p>
      <w:pPr>
        <w:ind w:left="1300"/>
        <w:spacing w:after="0"/>
        <w:rPr>
          <w:sz w:val="20"/>
          <w:szCs w:val="20"/>
          <w:color w:val="auto"/>
        </w:rPr>
      </w:pPr>
      <w:r>
        <w:rPr>
          <w:rFonts w:ascii="Times New Roman" w:cs="Times New Roman" w:eastAsia="Times New Roman" w:hAnsi="Times New Roman"/>
          <w:sz w:val="20"/>
          <w:szCs w:val="20"/>
          <w:color w:val="auto"/>
        </w:rPr>
        <w:t>0.00</w:t>
      </w:r>
    </w:p>
    <w:p>
      <w:pPr>
        <w:sectPr>
          <w:pgSz w:w="11900" w:h="16838" w:orient="portrait"/>
          <w:cols w:equalWidth="0" w:num="1">
            <w:col w:w="10099"/>
          </w:cols>
          <w:pgMar w:left="360" w:top="114" w:right="1440" w:bottom="0" w:gutter="0" w:footer="0" w:header="0"/>
          <w:type w:val="continuous"/>
        </w:sectPr>
      </w:pPr>
    </w:p>
    <w:bookmarkStart w:id="2" w:name="page3"/>
    <w:bookmarkEnd w:id="2"/>
    <w:p>
      <w:pPr>
        <w:ind w:left="1024" w:right="4039" w:hanging="1024"/>
        <w:spacing w:after="0" w:line="374" w:lineRule="auto"/>
        <w:tabs>
          <w:tab w:leader="none" w:pos="102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11,106,648.00</w:t>
      </w:r>
    </w:p>
    <w:p>
      <w:pPr>
        <w:jc w:val="right"/>
        <w:ind w:right="2319"/>
        <w:spacing w:after="0" w:line="230" w:lineRule="auto"/>
        <w:rPr>
          <w:sz w:val="20"/>
          <w:szCs w:val="20"/>
          <w:color w:val="auto"/>
        </w:rPr>
      </w:pPr>
      <w:r>
        <w:rPr>
          <w:rFonts w:ascii="Times New Roman" w:cs="Times New Roman" w:eastAsia="Times New Roman" w:hAnsi="Times New Roman"/>
          <w:sz w:val="20"/>
          <w:szCs w:val="20"/>
          <w:color w:val="auto"/>
        </w:rPr>
        <w:t>Check if the aggregate amount in Row (11) excludes certain shares (See Instructions)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12700</wp:posOffset>
            </wp:positionV>
            <wp:extent cx="117475" cy="117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1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13</w:t>
      </w:r>
    </w:p>
    <w:p>
      <w:pPr>
        <w:ind w:left="1024"/>
        <w:spacing w:after="0"/>
        <w:rPr>
          <w:sz w:val="20"/>
          <w:szCs w:val="20"/>
          <w:color w:val="auto"/>
        </w:rPr>
      </w:pPr>
      <w:r>
        <w:rPr>
          <w:rFonts w:ascii="Times New Roman" w:cs="Times New Roman" w:eastAsia="Times New Roman" w:hAnsi="Times New Roman"/>
          <w:sz w:val="20"/>
          <w:szCs w:val="20"/>
          <w:color w:val="auto"/>
        </w:rPr>
        <w:t>12.4 %</w:t>
      </w:r>
    </w:p>
    <w:p>
      <w:pPr>
        <w:spacing w:after="0" w:line="2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14</w:t>
      </w:r>
    </w:p>
    <w:p>
      <w:pPr>
        <w:ind w:left="1024"/>
        <w:spacing w:after="0"/>
        <w:rPr>
          <w:sz w:val="20"/>
          <w:szCs w:val="20"/>
          <w:color w:val="auto"/>
        </w:rPr>
      </w:pPr>
      <w:r>
        <w:rPr>
          <w:rFonts w:ascii="Times New Roman" w:cs="Times New Roman" w:eastAsia="Times New Roman" w:hAnsi="Times New Roman"/>
          <w:sz w:val="20"/>
          <w:szCs w:val="20"/>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4"/>
          <w:szCs w:val="24"/>
          <w:color w:val="auto"/>
        </w:rPr>
        <w:t>SCHEDULE 13D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CUSIP No.</w:t>
      </w:r>
    </w:p>
    <w:p>
      <w:pPr>
        <w:spacing w:after="0" w:line="200" w:lineRule="exact"/>
        <w:rPr>
          <w:sz w:val="20"/>
          <w:szCs w:val="20"/>
          <w:color w:val="auto"/>
        </w:rPr>
      </w:pPr>
    </w:p>
    <w:p>
      <w:pPr>
        <w:spacing w:after="0" w:line="316"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w:t>
      </w:r>
    </w:p>
    <w:p>
      <w:pPr>
        <w:ind w:left="1024"/>
        <w:spacing w:after="0"/>
        <w:rPr>
          <w:sz w:val="20"/>
          <w:szCs w:val="20"/>
          <w:color w:val="auto"/>
        </w:rPr>
      </w:pPr>
      <w:r>
        <w:rPr>
          <w:rFonts w:ascii="Times New Roman" w:cs="Times New Roman" w:eastAsia="Times New Roman" w:hAnsi="Times New Roman"/>
          <w:sz w:val="20"/>
          <w:szCs w:val="20"/>
          <w:color w:val="auto"/>
        </w:rPr>
        <w:t>Edward Kissel</w:t>
      </w:r>
    </w:p>
    <w:p>
      <w:pPr>
        <w:spacing w:after="0" w:line="2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ectPr>
          <w:pgSz w:w="11900" w:h="16838" w:orient="portrait"/>
          <w:cols w:equalWidth="0" w:num="1">
            <w:col w:w="10103"/>
          </w:cols>
          <w:pgMar w:left="356" w:top="114" w:right="1440" w:bottom="0" w:gutter="0" w:footer="0" w:header="0"/>
        </w:sectPr>
      </w:pPr>
    </w:p>
    <w:p>
      <w:pPr>
        <w:spacing w:after="0" w:line="1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2</w:t>
      </w:r>
    </w:p>
    <w:p>
      <w:pPr>
        <w:spacing w:after="0" w:line="3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3</w:t>
      </w:r>
    </w:p>
    <w:p>
      <w:pPr>
        <w:spacing w:after="0" w:line="2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Shares</w:t>
      </w:r>
    </w:p>
    <w:p>
      <w:pPr>
        <w:ind w:left="4"/>
        <w:spacing w:after="0"/>
        <w:rPr>
          <w:sz w:val="20"/>
          <w:szCs w:val="20"/>
          <w:color w:val="auto"/>
        </w:rPr>
      </w:pPr>
      <w:r>
        <w:rPr>
          <w:rFonts w:ascii="Times New Roman" w:cs="Times New Roman" w:eastAsia="Times New Roman" w:hAnsi="Times New Roman"/>
          <w:sz w:val="19"/>
          <w:szCs w:val="19"/>
          <w:color w:val="auto"/>
        </w:rPr>
        <w:t>Beneficially</w:t>
      </w:r>
    </w:p>
    <w:p>
      <w:pPr>
        <w:ind w:left="4"/>
        <w:spacing w:after="0" w:line="236" w:lineRule="auto"/>
        <w:rPr>
          <w:sz w:val="20"/>
          <w:szCs w:val="20"/>
          <w:color w:val="auto"/>
        </w:rPr>
      </w:pPr>
      <w:r>
        <w:rPr>
          <w:rFonts w:ascii="Times New Roman" w:cs="Times New Roman" w:eastAsia="Times New Roman" w:hAnsi="Times New Roman"/>
          <w:sz w:val="20"/>
          <w:szCs w:val="20"/>
          <w:color w:val="auto"/>
        </w:rPr>
        <w:t>Owned by</w:t>
      </w:r>
    </w:p>
    <w:p>
      <w:pPr>
        <w:ind w:left="4"/>
        <w:spacing w:after="0" w:line="232" w:lineRule="auto"/>
        <w:rPr>
          <w:sz w:val="20"/>
          <w:szCs w:val="20"/>
          <w:color w:val="auto"/>
        </w:rPr>
      </w:pPr>
      <w:r>
        <w:rPr>
          <w:rFonts w:ascii="Times New Roman" w:cs="Times New Roman" w:eastAsia="Times New Roman" w:hAnsi="Times New Roman"/>
          <w:sz w:val="20"/>
          <w:szCs w:val="20"/>
          <w:color w:val="auto"/>
        </w:rPr>
        <w:t>Each</w:t>
      </w:r>
    </w:p>
    <w:p>
      <w:pPr>
        <w:ind w:left="4"/>
        <w:spacing w:after="0" w:line="232" w:lineRule="auto"/>
        <w:rPr>
          <w:sz w:val="20"/>
          <w:szCs w:val="20"/>
          <w:color w:val="auto"/>
        </w:rPr>
      </w:pPr>
      <w:r>
        <w:rPr>
          <w:rFonts w:ascii="Times New Roman" w:cs="Times New Roman" w:eastAsia="Times New Roman" w:hAnsi="Times New Roman"/>
          <w:sz w:val="20"/>
          <w:szCs w:val="20"/>
          <w:color w:val="auto"/>
        </w:rPr>
        <w:t>Reporting</w:t>
      </w:r>
    </w:p>
    <w:p>
      <w:pPr>
        <w:ind w:left="4"/>
        <w:spacing w:after="0" w:line="233" w:lineRule="auto"/>
        <w:rPr>
          <w:sz w:val="20"/>
          <w:szCs w:val="20"/>
          <w:color w:val="auto"/>
        </w:rPr>
      </w:pPr>
      <w:r>
        <w:rPr>
          <w:rFonts w:ascii="Times New Roman" w:cs="Times New Roman" w:eastAsia="Times New Roman" w:hAnsi="Times New Roman"/>
          <w:sz w:val="20"/>
          <w:szCs w:val="20"/>
          <w:color w:val="auto"/>
        </w:rPr>
        <w:t>Person</w:t>
      </w:r>
    </w:p>
    <w:p>
      <w:pPr>
        <w:ind w:left="4"/>
        <w:spacing w:after="0"/>
        <w:rPr>
          <w:sz w:val="20"/>
          <w:szCs w:val="20"/>
          <w:color w:val="auto"/>
        </w:rPr>
      </w:pPr>
      <w:r>
        <w:rPr>
          <w:rFonts w:ascii="Times New Roman" w:cs="Times New Roman" w:eastAsia="Times New Roman" w:hAnsi="Times New Roman"/>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117475" cy="117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11,106,648.00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HC</w:t>
      </w:r>
    </w:p>
    <w:p>
      <w:pPr>
        <w:spacing w:after="0" w:line="200" w:lineRule="exact"/>
        <w:rPr>
          <w:sz w:val="20"/>
          <w:szCs w:val="20"/>
          <w:color w:val="auto"/>
        </w:rPr>
      </w:pPr>
    </w:p>
    <w:p>
      <w:pPr>
        <w:sectPr>
          <w:pgSz w:w="11900" w:h="16838" w:orient="portrait"/>
          <w:cols w:equalWidth="0" w:num="2">
            <w:col w:w="964" w:space="60"/>
            <w:col w:w="9079"/>
          </w:cols>
          <w:pgMar w:left="356" w:top="11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SCHEDULE 13D</w:t>
      </w:r>
    </w:p>
    <w:p>
      <w:pPr>
        <w:sectPr>
          <w:pgSz w:w="11900" w:h="16838" w:orient="portrait"/>
          <w:cols w:equalWidth="0" w:num="1">
            <w:col w:w="10103"/>
          </w:cols>
          <w:pgMar w:left="356" w:top="114" w:right="1440" w:bottom="0" w:gutter="0" w:footer="0" w:header="0"/>
          <w:type w:val="continuous"/>
        </w:sectPr>
      </w:pPr>
    </w:p>
    <w:p>
      <w:pPr>
        <w:spacing w:after="0" w:line="2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color w:val="auto"/>
        </w:rPr>
        <w:t>CUSIP No.</w:t>
      </w:r>
    </w:p>
    <w:p>
      <w:pPr>
        <w:sectPr>
          <w:pgSz w:w="11900" w:h="16838" w:orient="portrait"/>
          <w:cols w:equalWidth="0" w:num="1">
            <w:col w:w="10103"/>
          </w:cols>
          <w:pgMar w:left="356" w:top="114" w:right="1440" w:bottom="0" w:gutter="0" w:footer="0" w:header="0"/>
          <w:type w:val="continuous"/>
        </w:sectPr>
      </w:pPr>
    </w:p>
    <w:bookmarkStart w:id="3" w:name="page4"/>
    <w:bookmarkEnd w:id="3"/>
    <w:p>
      <w:pPr>
        <w:spacing w:after="0" w:line="11"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w:t>
      </w:r>
    </w:p>
    <w:p>
      <w:pPr>
        <w:ind w:left="1024"/>
        <w:spacing w:after="0"/>
        <w:rPr>
          <w:sz w:val="20"/>
          <w:szCs w:val="20"/>
          <w:color w:val="auto"/>
        </w:rPr>
      </w:pPr>
      <w:r>
        <w:rPr>
          <w:rFonts w:ascii="Times New Roman" w:cs="Times New Roman" w:eastAsia="Times New Roman" w:hAnsi="Times New Roman"/>
          <w:sz w:val="20"/>
          <w:szCs w:val="20"/>
          <w:color w:val="auto"/>
        </w:rPr>
        <w:t>Robert MacArthur</w:t>
      </w:r>
    </w:p>
    <w:p>
      <w:pPr>
        <w:spacing w:after="0" w:line="2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pacing w:after="0" w:line="36" w:lineRule="exact"/>
        <w:rPr>
          <w:sz w:val="20"/>
          <w:szCs w:val="20"/>
          <w:color w:val="auto"/>
        </w:rPr>
      </w:pPr>
    </w:p>
    <w:p>
      <w:pPr>
        <w:ind w:left="1024" w:hanging="1024"/>
        <w:spacing w:after="0"/>
        <w:tabs>
          <w:tab w:leader="none" w:pos="1024" w:val="left"/>
        </w:tabs>
        <w:numPr>
          <w:ilvl w:val="0"/>
          <w:numId w:val="4"/>
        </w:numPr>
        <w:rPr>
          <w:rFonts w:ascii="Times New Roman" w:cs="Times New Roman" w:eastAsia="Times New Roman" w:hAnsi="Times New Roman"/>
          <w:sz w:val="40"/>
          <w:szCs w:val="40"/>
          <w:color w:val="auto"/>
          <w:vertAlign w:val="superscript"/>
        </w:rPr>
      </w:pPr>
      <w:r>
        <w:rPr>
          <w:sz w:val="1"/>
          <w:szCs w:val="1"/>
          <w:color w:val="auto"/>
        </w:rPr>
        <w:drawing>
          <wp:inline distT="0" distB="0" distL="0" distR="0">
            <wp:extent cx="117475" cy="11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ind w:left="1024"/>
        <w:spacing w:after="0"/>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7475" cy="1174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ectPr>
          <w:pgSz w:w="11900" w:h="16849" w:orient="portrait"/>
          <w:cols w:equalWidth="0" w:num="1">
            <w:col w:w="11184"/>
          </w:cols>
          <w:pgMar w:left="356" w:top="596" w:right="359" w:bottom="0" w:gutter="0" w:footer="0" w:header="0"/>
        </w:sectPr>
      </w:pP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3</w:t>
      </w:r>
    </w:p>
    <w:p>
      <w:pPr>
        <w:spacing w:after="0" w:line="2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Shares</w:t>
      </w:r>
    </w:p>
    <w:p>
      <w:pPr>
        <w:ind w:left="4"/>
        <w:spacing w:after="0"/>
        <w:rPr>
          <w:sz w:val="20"/>
          <w:szCs w:val="20"/>
          <w:color w:val="auto"/>
        </w:rPr>
      </w:pPr>
      <w:r>
        <w:rPr>
          <w:rFonts w:ascii="Times New Roman" w:cs="Times New Roman" w:eastAsia="Times New Roman" w:hAnsi="Times New Roman"/>
          <w:sz w:val="19"/>
          <w:szCs w:val="19"/>
          <w:color w:val="auto"/>
        </w:rPr>
        <w:t>Beneficially</w:t>
      </w:r>
    </w:p>
    <w:p>
      <w:pPr>
        <w:ind w:left="4"/>
        <w:spacing w:after="0" w:line="236" w:lineRule="auto"/>
        <w:rPr>
          <w:sz w:val="20"/>
          <w:szCs w:val="20"/>
          <w:color w:val="auto"/>
        </w:rPr>
      </w:pPr>
      <w:r>
        <w:rPr>
          <w:rFonts w:ascii="Times New Roman" w:cs="Times New Roman" w:eastAsia="Times New Roman" w:hAnsi="Times New Roman"/>
          <w:sz w:val="20"/>
          <w:szCs w:val="20"/>
          <w:color w:val="auto"/>
        </w:rPr>
        <w:t>Owned by</w:t>
      </w:r>
    </w:p>
    <w:p>
      <w:pPr>
        <w:ind w:left="4"/>
        <w:spacing w:after="0" w:line="232" w:lineRule="auto"/>
        <w:rPr>
          <w:sz w:val="20"/>
          <w:szCs w:val="20"/>
          <w:color w:val="auto"/>
        </w:rPr>
      </w:pPr>
      <w:r>
        <w:rPr>
          <w:rFonts w:ascii="Times New Roman" w:cs="Times New Roman" w:eastAsia="Times New Roman" w:hAnsi="Times New Roman"/>
          <w:sz w:val="20"/>
          <w:szCs w:val="20"/>
          <w:color w:val="auto"/>
        </w:rPr>
        <w:t>Each</w:t>
      </w:r>
    </w:p>
    <w:p>
      <w:pPr>
        <w:ind w:left="4"/>
        <w:spacing w:after="0" w:line="232" w:lineRule="auto"/>
        <w:rPr>
          <w:sz w:val="20"/>
          <w:szCs w:val="20"/>
          <w:color w:val="auto"/>
        </w:rPr>
      </w:pPr>
      <w:r>
        <w:rPr>
          <w:rFonts w:ascii="Times New Roman" w:cs="Times New Roman" w:eastAsia="Times New Roman" w:hAnsi="Times New Roman"/>
          <w:sz w:val="20"/>
          <w:szCs w:val="20"/>
          <w:color w:val="auto"/>
        </w:rPr>
        <w:t>Reporting</w:t>
      </w:r>
    </w:p>
    <w:p>
      <w:pPr>
        <w:ind w:left="4"/>
        <w:spacing w:after="0" w:line="233" w:lineRule="auto"/>
        <w:rPr>
          <w:sz w:val="20"/>
          <w:szCs w:val="20"/>
          <w:color w:val="auto"/>
        </w:rPr>
      </w:pPr>
      <w:r>
        <w:rPr>
          <w:rFonts w:ascii="Times New Roman" w:cs="Times New Roman" w:eastAsia="Times New Roman" w:hAnsi="Times New Roman"/>
          <w:sz w:val="20"/>
          <w:szCs w:val="20"/>
          <w:color w:val="auto"/>
        </w:rPr>
        <w:t>Person</w:t>
      </w:r>
    </w:p>
    <w:p>
      <w:pPr>
        <w:ind w:left="4"/>
        <w:spacing w:after="0"/>
        <w:rPr>
          <w:sz w:val="20"/>
          <w:szCs w:val="20"/>
          <w:color w:val="auto"/>
        </w:rPr>
      </w:pPr>
      <w:r>
        <w:rPr>
          <w:rFonts w:ascii="Times New Roman" w:cs="Times New Roman" w:eastAsia="Times New Roman" w:hAnsi="Times New Roman"/>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117475" cy="117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11,106,648.00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HC</w:t>
      </w:r>
    </w:p>
    <w:p>
      <w:pPr>
        <w:spacing w:after="0" w:line="200" w:lineRule="exact"/>
        <w:rPr>
          <w:sz w:val="20"/>
          <w:szCs w:val="20"/>
          <w:color w:val="auto"/>
        </w:rPr>
      </w:pPr>
    </w:p>
    <w:p>
      <w:pPr>
        <w:sectPr>
          <w:pgSz w:w="11900" w:h="16849" w:orient="portrait"/>
          <w:cols w:equalWidth="0" w:num="2">
            <w:col w:w="964" w:space="60"/>
            <w:col w:w="10160"/>
          </w:cols>
          <w:pgMar w:left="356" w:top="596"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4"/>
          <w:szCs w:val="24"/>
          <w:color w:val="auto"/>
        </w:rPr>
        <w:t>SCHEDULE 13D</w:t>
      </w:r>
    </w:p>
    <w:p>
      <w:pPr>
        <w:spacing w:after="0" w:line="270"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19"/>
          <w:szCs w:val="19"/>
          <w:color w:val="auto"/>
        </w:rPr>
        <w:t>Security and Issuer</w:t>
      </w:r>
    </w:p>
    <w:p>
      <w:pPr>
        <w:spacing w:after="0" w:line="42"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w:t>
      </w:r>
    </w:p>
    <w:p>
      <w:pPr>
        <w:ind w:left="924"/>
        <w:spacing w:after="0"/>
        <w:rPr>
          <w:sz w:val="20"/>
          <w:szCs w:val="20"/>
          <w:color w:val="auto"/>
        </w:rPr>
      </w:pPr>
      <w:r>
        <w:rPr>
          <w:rFonts w:ascii="Times New Roman" w:cs="Times New Roman" w:eastAsia="Times New Roman" w:hAnsi="Times New Roman"/>
          <w:sz w:val="20"/>
          <w:szCs w:val="20"/>
          <w:color w:val="auto"/>
        </w:rPr>
        <w:t>Class A Common Stock, par value $0.0001 per share</w:t>
      </w:r>
    </w:p>
    <w:p>
      <w:pPr>
        <w:spacing w:after="0" w:line="20"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20"/>
          <w:szCs w:val="20"/>
          <w:color w:val="auto"/>
        </w:rPr>
        <w:t>Name of Issuer:</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(b)</w:t>
      </w:r>
    </w:p>
    <w:p>
      <w:pPr>
        <w:ind w:left="924"/>
        <w:spacing w:after="0"/>
        <w:rPr>
          <w:sz w:val="20"/>
          <w:szCs w:val="20"/>
          <w:color w:val="auto"/>
        </w:rPr>
      </w:pPr>
      <w:r>
        <w:rPr>
          <w:rFonts w:ascii="Times New Roman" w:cs="Times New Roman" w:eastAsia="Times New Roman" w:hAnsi="Times New Roman"/>
          <w:sz w:val="20"/>
          <w:szCs w:val="20"/>
          <w:color w:val="auto"/>
        </w:rPr>
        <w:t>Repay Holdings Corp</w:t>
      </w:r>
    </w:p>
    <w:p>
      <w:pPr>
        <w:spacing w:after="0" w:line="20"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(c)</w:t>
      </w:r>
    </w:p>
    <w:p>
      <w:pPr>
        <w:ind w:left="924"/>
        <w:spacing w:after="0"/>
        <w:rPr>
          <w:sz w:val="20"/>
          <w:szCs w:val="20"/>
          <w:color w:val="auto"/>
        </w:rPr>
      </w:pPr>
      <w:r>
        <w:rPr>
          <w:rFonts w:ascii="Times New Roman" w:cs="Times New Roman" w:eastAsia="Times New Roman" w:hAnsi="Times New Roman"/>
          <w:sz w:val="20"/>
          <w:szCs w:val="20"/>
          <w:color w:val="auto"/>
        </w:rPr>
        <w:t>c/o Forager Fund, L.P., 2025 3rd Avenue North, Suite 350, Birmingham, ALABAMA , 35203.</w:t>
      </w:r>
    </w:p>
    <w:p>
      <w:pPr>
        <w:spacing w:after="0" w:line="20"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9"/>
          <w:szCs w:val="19"/>
          <w:color w:val="auto"/>
        </w:rPr>
        <w:t>The aggregate percentage of shares owned by each person named herein is based on 89,672,978 shares of Common Stock</w:t>
      </w:r>
      <w:r>
        <w:rPr>
          <w:rFonts w:ascii="Times New Roman" w:cs="Times New Roman" w:eastAsia="Times New Roman" w:hAnsi="Times New Roman"/>
          <w:sz w:val="18"/>
          <w:szCs w:val="18"/>
          <w:b w:val="1"/>
          <w:bCs w:val="1"/>
          <w:color w:val="auto"/>
        </w:rPr>
        <w:t xml:space="preserve"> Comment: </w:t>
      </w:r>
      <w:r>
        <w:rPr>
          <w:rFonts w:ascii="Times New Roman" w:cs="Times New Roman" w:eastAsia="Times New Roman" w:hAnsi="Times New Roman"/>
          <w:sz w:val="19"/>
          <w:szCs w:val="19"/>
          <w:color w:val="auto"/>
        </w:rPr>
        <w:t>outstanding as of April 29, 2026, as reported in the Issuer's Quarterly Report on Form 10Q for the fiscal quarter ended March 31,</w:t>
      </w:r>
    </w:p>
    <w:p>
      <w:pPr>
        <w:spacing w:after="0" w:line="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20"/>
          <w:szCs w:val="20"/>
          <w:color w:val="auto"/>
        </w:rPr>
        <w:t>2026, filed with the Securities and Exchange Commission on May 4, 2026.</w:t>
      </w:r>
    </w:p>
    <w:p>
      <w:pPr>
        <w:spacing w:after="0" w:line="20"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19"/>
          <w:szCs w:val="19"/>
          <w:color w:val="auto"/>
        </w:rPr>
        <w:t>Identity and Background</w:t>
      </w:r>
    </w:p>
    <w:p>
      <w:pPr>
        <w:spacing w:after="0" w:line="67"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Source and Amount of Funds or Other Consideration</w:t>
      </w:r>
    </w:p>
    <w:p>
      <w:pPr>
        <w:spacing w:after="0" w:line="314"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Purpose of Transaction</w:t>
      </w:r>
    </w:p>
    <w:p>
      <w:pPr>
        <w:spacing w:after="0" w:line="42" w:lineRule="exact"/>
        <w:rPr>
          <w:sz w:val="20"/>
          <w:szCs w:val="20"/>
          <w:color w:val="auto"/>
        </w:rPr>
      </w:pPr>
    </w:p>
    <w:p>
      <w:pPr>
        <w:ind w:left="924" w:right="180"/>
        <w:spacing w:after="0" w:line="288" w:lineRule="auto"/>
        <w:rPr>
          <w:sz w:val="20"/>
          <w:szCs w:val="20"/>
          <w:color w:val="auto"/>
        </w:rPr>
      </w:pPr>
      <w:r>
        <w:rPr>
          <w:rFonts w:ascii="Times New Roman" w:cs="Times New Roman" w:eastAsia="Times New Roman" w:hAnsi="Times New Roman"/>
          <w:sz w:val="19"/>
          <w:szCs w:val="19"/>
          <w:color w:val="auto"/>
        </w:rPr>
        <w:t>On June 26, 2026 the Reporting Persons delivered a non-binding proposal (the "Proposal Letter") to the Board of Directors of the Issuer to offer to acquire all of the outstanding shares of the Issuer not already owned by the Reporting Persons at a price of</w:t>
      </w:r>
    </w:p>
    <w:p>
      <w:pPr>
        <w:sectPr>
          <w:pgSz w:w="11900" w:h="16849" w:orient="portrait"/>
          <w:cols w:equalWidth="0" w:num="1">
            <w:col w:w="11184"/>
          </w:cols>
          <w:pgMar w:left="356" w:top="596" w:right="359" w:bottom="0" w:gutter="0" w:footer="0" w:header="0"/>
          <w:type w:val="continuous"/>
        </w:sectPr>
      </w:pPr>
    </w:p>
    <w:bookmarkStart w:id="4" w:name="page5"/>
    <w:bookmarkEnd w:id="4"/>
    <w:p>
      <w:pPr>
        <w:ind w:left="920" w:right="140"/>
        <w:spacing w:after="0" w:line="250" w:lineRule="auto"/>
        <w:rPr>
          <w:sz w:val="20"/>
          <w:szCs w:val="20"/>
          <w:color w:val="auto"/>
        </w:rPr>
      </w:pPr>
      <w:r>
        <w:rPr>
          <w:rFonts w:ascii="Times New Roman" w:cs="Times New Roman" w:eastAsia="Times New Roman" w:hAnsi="Times New Roman"/>
          <w:sz w:val="19"/>
          <w:szCs w:val="19"/>
          <w:color w:val="auto"/>
        </w:rPr>
        <w:t>$5.25 per share, payable in cash (the "Proposal"). The foregoing description of the Proposal Letter does not purport to be complete and is qualified in its entirety by reference to the full text of the Proposal Letter, which is filed as Exhibit 99.6 hereto and is incorporated by reference into this Item 4. There can be no assurance that any discussions that may occur between the Reporting Persons and the Issuer with respect to the Proposal will result in the entry into a definitive agreement concerning a transaction or, if such a definitive agreement is reached, will result in the consummation of a transaction provided for in such definitive agreement. Discussions concerning a transaction may be terminated at any time and without prior notice. Entry into a definitive agreement concerning a transaction and the consummation of any such transaction will be subject to a number of contingencies that are beyond the control of the Reporting Persons, including the approval of the Board of Directors of the Issuer, and the satisfaction of any conditions to the consummation of a transaction set forth in any such definitive agreement.</w:t>
      </w:r>
    </w:p>
    <w:p>
      <w:pPr>
        <w:spacing w:after="0" w:line="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Interest in Securities of the Issuer</w:t>
      </w:r>
    </w:p>
    <w:p>
      <w:pPr>
        <w:spacing w:after="0" w:line="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Contracts, Arrangements, Understandings or Relationships With Respect to Securities of the Issuer</w:t>
      </w:r>
    </w:p>
    <w:p>
      <w:pPr>
        <w:spacing w:after="0" w:line="3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Material to be Filed as Exhibits.</w:t>
      </w:r>
    </w:p>
    <w:p>
      <w:pPr>
        <w:spacing w:after="0" w:line="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Item 7 of the Schedule 13D is hereby amended and supplemented to incorporate the following: The following document is filed</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as an exhibit: Exhibit 99.6 - Proposal Letter, dated June 26, 2026</w:t>
      </w: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SIGNATURE</w:t>
      </w:r>
    </w:p>
    <w:p>
      <w:pPr>
        <w:spacing w:after="0" w:line="42" w:lineRule="exact"/>
        <w:rPr>
          <w:sz w:val="20"/>
          <w:szCs w:val="20"/>
          <w:color w:val="auto"/>
        </w:rPr>
      </w:pPr>
    </w:p>
    <w:p>
      <w:pPr>
        <w:ind w:left="1340"/>
        <w:spacing w:after="0" w:line="261"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27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Forager Fund, L.P.</w:t>
      </w:r>
    </w:p>
    <w:p>
      <w:pPr>
        <w:spacing w:after="0" w:line="141"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Robert MacArthur</w:t>
      </w:r>
    </w:p>
    <w:p>
      <w:pPr>
        <w:spacing w:after="0" w:line="4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Name/Title: Managing Partner</w:t>
      </w:r>
    </w:p>
    <w:p>
      <w:pPr>
        <w:spacing w:after="0" w:line="42"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06/29/2026</w:t>
      </w:r>
    </w:p>
    <w:p>
      <w:pPr>
        <w:spacing w:after="0" w:line="14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color w:val="auto"/>
        </w:rPr>
        <w:t>Forager Capital Management, LLC</w:t>
      </w:r>
    </w:p>
    <w:p>
      <w:pPr>
        <w:spacing w:after="0" w:line="141"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Robert MacArthur</w:t>
      </w:r>
    </w:p>
    <w:p>
      <w:pPr>
        <w:spacing w:after="0" w:line="4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Name/Title: Managing Partner</w:t>
      </w:r>
    </w:p>
    <w:p>
      <w:pPr>
        <w:spacing w:after="0" w:line="42"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06/29/2026</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Edward Kissel</w:t>
      </w:r>
    </w:p>
    <w:p>
      <w:pPr>
        <w:spacing w:after="0" w:line="141" w:lineRule="exact"/>
        <w:rPr>
          <w:sz w:val="20"/>
          <w:szCs w:val="20"/>
          <w:color w:val="auto"/>
        </w:rPr>
      </w:pPr>
    </w:p>
    <w:p>
      <w:pPr>
        <w:ind w:left="2560"/>
        <w:spacing w:after="0"/>
        <w:tabs>
          <w:tab w:leader="none" w:pos="35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Edward Kissel</w:t>
      </w:r>
    </w:p>
    <w:p>
      <w:pPr>
        <w:spacing w:after="0" w:line="4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color w:val="auto"/>
        </w:rPr>
        <w:t>Name/Title: Edward Kissel</w:t>
      </w:r>
    </w:p>
    <w:p>
      <w:pPr>
        <w:spacing w:after="0" w:line="42" w:lineRule="exact"/>
        <w:rPr>
          <w:sz w:val="20"/>
          <w:szCs w:val="20"/>
          <w:color w:val="auto"/>
        </w:rPr>
      </w:pPr>
    </w:p>
    <w:p>
      <w:pPr>
        <w:ind w:left="2560"/>
        <w:spacing w:after="0"/>
        <w:tabs>
          <w:tab w:leader="none" w:pos="35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06/29/2026</w:t>
      </w:r>
    </w:p>
    <w:p>
      <w:pPr>
        <w:spacing w:after="0" w:line="1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Robert MacArthur</w:t>
      </w:r>
    </w:p>
    <w:p>
      <w:pPr>
        <w:spacing w:after="0" w:line="141" w:lineRule="exact"/>
        <w:rPr>
          <w:sz w:val="20"/>
          <w:szCs w:val="20"/>
          <w:color w:val="auto"/>
        </w:rPr>
      </w:pPr>
    </w:p>
    <w:p>
      <w:pPr>
        <w:ind w:left="2820"/>
        <w:spacing w:after="0"/>
        <w:tabs>
          <w:tab w:leader="none" w:pos="380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/s/Robert MacArthur</w:t>
      </w:r>
    </w:p>
    <w:p>
      <w:pPr>
        <w:spacing w:after="0" w:line="4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Name/Title: Robert MacArthur</w:t>
      </w:r>
    </w:p>
    <w:p>
      <w:pPr>
        <w:spacing w:after="0" w:line="42" w:lineRule="exact"/>
        <w:rPr>
          <w:sz w:val="20"/>
          <w:szCs w:val="20"/>
          <w:color w:val="auto"/>
        </w:rPr>
      </w:pPr>
    </w:p>
    <w:p>
      <w:pPr>
        <w:ind w:left="2820"/>
        <w:spacing w:after="0"/>
        <w:tabs>
          <w:tab w:leader="none" w:pos="380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06/29/2026</w:t>
      </w:r>
    </w:p>
    <w:p>
      <w:pPr>
        <w:sectPr>
          <w:pgSz w:w="11900" w:h="16838" w:orient="portrait"/>
          <w:cols w:equalWidth="0" w:num="1">
            <w:col w:w="11160"/>
          </w:cols>
          <w:pgMar w:left="360" w:top="114" w:right="379" w:bottom="1440" w:gutter="0" w:footer="0" w:header="0"/>
        </w:sectPr>
      </w:pPr>
    </w:p>
    <w:bookmarkStart w:id="5" w:name="page6"/>
    <w:bookmarkEnd w:id="5"/>
    <w:p>
      <w:pPr>
        <w:ind w:left="9060"/>
        <w:spacing w:after="0"/>
        <w:rPr>
          <w:sz w:val="20"/>
          <w:szCs w:val="20"/>
          <w:color w:val="auto"/>
        </w:rPr>
      </w:pPr>
      <w:r>
        <w:rPr>
          <w:rFonts w:ascii="Times New Roman" w:cs="Times New Roman" w:eastAsia="Times New Roman" w:hAnsi="Times New Roman"/>
          <w:sz w:val="16"/>
          <w:szCs w:val="16"/>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147320</wp:posOffset>
            </wp:positionV>
            <wp:extent cx="7201535" cy="9711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9711055"/>
                    </a:xfrm>
                    <a:prstGeom prst="rect">
                      <a:avLst/>
                    </a:prstGeom>
                    <a:noFill/>
                  </pic:spPr>
                </pic:pic>
              </a:graphicData>
            </a:graphic>
          </wp:anchor>
        </w:drawing>
      </w:r>
    </w:p>
    <w:p>
      <w:pPr>
        <w:sectPr>
          <w:pgSz w:w="11900" w:h="16838" w:orient="portrait"/>
          <w:cols w:equalWidth="0" w:num="1">
            <w:col w:w="10080"/>
          </w:cols>
          <w:pgMar w:left="1440" w:top="119" w:right="37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201535" cy="9711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9711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2026-06-29T07:41:32Z</dcterms:created>
  <dcterms:modified xsi:type="dcterms:W3CDTF">2026-06-29T07:41:32Z</dcterms:modified>
</cp:coreProperties>
</file>