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30" w:lineRule="exact"/>
        <w:rPr>
          <w:sz w:val="24"/>
          <w:szCs w:val="24"/>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REPAY HOLDINGS CORPORATION</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98-1496050</w:t>
      </w:r>
    </w:p>
    <w:p>
      <w:pPr>
        <w:spacing w:after="0" w:line="20" w:lineRule="exact"/>
        <w:rPr>
          <w:sz w:val="24"/>
          <w:szCs w:val="24"/>
          <w:color w:val="auto"/>
        </w:rPr>
      </w:pPr>
    </w:p>
    <w:p>
      <w:pPr>
        <w:sectPr>
          <w:pgSz w:w="11900" w:h="16838" w:orient="portrait"/>
          <w:cols w:equalWidth="0" w:num="2">
            <w:col w:w="7100" w:space="720"/>
            <w:col w:w="3020"/>
          </w:cols>
          <w:pgMar w:left="500" w:top="224" w:right="55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4" w:lineRule="exact"/>
        <w:rPr>
          <w:sz w:val="24"/>
          <w:szCs w:val="24"/>
          <w:color w:val="auto"/>
        </w:rPr>
      </w:pPr>
    </w:p>
    <w:p>
      <w:pPr>
        <w:sectPr>
          <w:pgSz w:w="11900" w:h="16838" w:orient="portrait"/>
          <w:cols w:equalWidth="0" w:num="2">
            <w:col w:w="6980" w:space="720"/>
            <w:col w:w="3140"/>
          </w:cols>
          <w:pgMar w:left="500" w:top="224" w:right="5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3060 Peachtree Road NW</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1100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Atlanta, GA 30305</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(404) 504-7472</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840"/>
          </w:cols>
          <w:pgMar w:left="500" w:top="224" w:right="559" w:bottom="1440" w:gutter="0" w:footer="0" w:header="0"/>
          <w:type w:val="continuous"/>
        </w:sectPr>
      </w:pP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Repay Holdings Corporation Third Amended and Restated Omnibus Incentive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Tyler B. Dempsey, Esq.</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3060 Peachtree Road NW</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1100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Atlanta, GA 30305</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(404) 504-7472</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including zip code, and telephone number, including area code,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r>
        <w:rPr>
          <w:rFonts w:ascii="Times New Roman" w:cs="Times New Roman" w:eastAsia="Times New Roman" w:hAnsi="Times New Roman"/>
          <w:sz w:val="18"/>
          <w:szCs w:val="18"/>
          <w:b w:val="1"/>
          <w:bCs w:val="1"/>
          <w:color w:val="auto"/>
        </w:rPr>
        <w:t>:</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David W. Ghegan, Esq.</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Heather M. Ducat, Esq.</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Troutman Pepper Locke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600 Peachtree Street, NE</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3000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Atlanta, Georgia 30308</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(404) 885-3000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233045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202565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type w:val="continuous"/>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firstLine="436"/>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Repay Holdings Corp. (the “Registrant” or the “Company”) is filing this Registration Statement on Form S-8 (the “Registration Statement”) with the Securities and Exchange Commission (the “SEC”) under the Securities Act of 1933, as amended (the “Securities Act”), to register (i) an additional 2,500,000 shares of the Company’s Class A common stock, $0.0001 par value per share (“Common Stock”), that may be issued under the Company’s Third Amended and Restated Omnibus Incentive Plan (the “Plan”) and (ii) such additional shares that may become issuable in accordance with the adjustment and anti-dilution provisions of the Plan. The Company previously registered, for issuance under the Plan, an aggregate of 7,326,728 shares on a Form S-8 filed on September 20, 2019 </w:t>
      </w:r>
      <w:hyperlink r:id="rId18">
        <w:r>
          <w:rPr>
            <w:rFonts w:ascii="Times New Roman" w:cs="Times New Roman" w:eastAsia="Times New Roman" w:hAnsi="Times New Roman"/>
            <w:sz w:val="18"/>
            <w:szCs w:val="18"/>
            <w:u w:val="single" w:color="auto"/>
            <w:color w:val="0000EE"/>
          </w:rPr>
          <w:t>(File No. 333-233879)</w:t>
        </w:r>
      </w:hyperlink>
      <w:r>
        <w:rPr>
          <w:rFonts w:ascii="Times New Roman" w:cs="Times New Roman" w:eastAsia="Times New Roman" w:hAnsi="Times New Roman"/>
          <w:sz w:val="18"/>
          <w:szCs w:val="18"/>
          <w:color w:val="auto"/>
        </w:rPr>
        <w:t xml:space="preserve">, 6,500,000 shares on a Form S-8 filed on June 8, 2022 </w:t>
      </w:r>
      <w:hyperlink r:id="rId19">
        <w:r>
          <w:rPr>
            <w:rFonts w:ascii="Times New Roman" w:cs="Times New Roman" w:eastAsia="Times New Roman" w:hAnsi="Times New Roman"/>
            <w:sz w:val="18"/>
            <w:szCs w:val="18"/>
            <w:u w:val="single" w:color="auto"/>
            <w:color w:val="0000EE"/>
          </w:rPr>
          <w:t>(File No. 333-265480)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8,400,000 shares on a Form S-8 filed on May 30, 2024 </w:t>
      </w:r>
      <w:hyperlink r:id="rId20">
        <w:r>
          <w:rPr>
            <w:rFonts w:ascii="Times New Roman" w:cs="Times New Roman" w:eastAsia="Times New Roman" w:hAnsi="Times New Roman"/>
            <w:sz w:val="18"/>
            <w:szCs w:val="18"/>
            <w:u w:val="single" w:color="auto"/>
            <w:color w:val="0000EE"/>
          </w:rPr>
          <w:t>(File No. 333-279824)</w:t>
        </w:r>
      </w:hyperlink>
      <w:r>
        <w:rPr>
          <w:rFonts w:ascii="Times New Roman" w:cs="Times New Roman" w:eastAsia="Times New Roman" w:hAnsi="Times New Roman"/>
          <w:sz w:val="18"/>
          <w:szCs w:val="18"/>
          <w:color w:val="auto"/>
        </w:rPr>
        <w:t>.</w:t>
      </w:r>
    </w:p>
    <w:p>
      <w:pPr>
        <w:sectPr>
          <w:pgSz w:w="11900" w:h="16838" w:orient="portrait"/>
          <w:cols w:equalWidth="0" w:num="1">
            <w:col w:w="10780"/>
          </w:cols>
          <w:pgMar w:left="500" w:top="264" w:right="61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the Registration Statement is omitted from this filing in accordance with the provisions of Rule 428 under the Securities Act and the introductory note to Part I of the Registration Statement. The documents containing the information specified in Part I of Form S-8 will be delivered to the participants in the Plan covered by this Registration Statement, as applicable and as required by Rule 428(b)(1) promulgated under the Securities Act. Such documents need not be filed with the SEC either as part of this Registration Statement or as prospectuses or prospectus supplements pursuant to Rule 424.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500" w:top="264" w:right="5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II</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sz w:val="20"/>
          <w:szCs w:val="20"/>
          <w:color w:val="auto"/>
        </w:rPr>
      </w:pPr>
    </w:p>
    <w:p>
      <w:pPr>
        <w:ind w:right="640" w:firstLine="436"/>
        <w:spacing w:after="0" w:line="277" w:lineRule="auto"/>
        <w:rPr>
          <w:sz w:val="20"/>
          <w:szCs w:val="20"/>
          <w:color w:val="auto"/>
        </w:rPr>
      </w:pPr>
      <w:r>
        <w:rPr>
          <w:rFonts w:ascii="Times New Roman" w:cs="Times New Roman" w:eastAsia="Times New Roman" w:hAnsi="Times New Roman"/>
          <w:sz w:val="18"/>
          <w:szCs w:val="18"/>
          <w:color w:val="auto"/>
        </w:rPr>
        <w:t>The following documents filed with the SEC by the Registrant pursuant to the Securities Act and the Securities Exchange Act of 1934, as amended (the “Exchange Act”), are incorporated herein by reference, to the extent that such documents are considered filed with the SEC:</w:t>
      </w:r>
    </w:p>
    <w:p>
      <w:pPr>
        <w:spacing w:after="0" w:line="70" w:lineRule="exact"/>
        <w:rPr>
          <w:sz w:val="20"/>
          <w:szCs w:val="20"/>
          <w:color w:val="auto"/>
        </w:rPr>
      </w:pPr>
    </w:p>
    <w:p>
      <w:pPr>
        <w:ind w:left="960" w:right="140" w:hanging="432"/>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December 31, 2025, filed with the SEC on </w:t>
      </w:r>
      <w:hyperlink r:id="rId23">
        <w:r>
          <w:rPr>
            <w:rFonts w:ascii="Times New Roman" w:cs="Times New Roman" w:eastAsia="Times New Roman" w:hAnsi="Times New Roman"/>
            <w:sz w:val="18"/>
            <w:szCs w:val="18"/>
            <w:u w:val="single" w:color="auto"/>
            <w:color w:val="0000EE"/>
          </w:rPr>
          <w:t>March 9, 2026</w:t>
        </w:r>
      </w:hyperlink>
      <w:r>
        <w:rPr>
          <w:rFonts w:ascii="Times New Roman" w:cs="Times New Roman" w:eastAsia="Times New Roman" w:hAnsi="Times New Roman"/>
          <w:sz w:val="18"/>
          <w:szCs w:val="18"/>
          <w:color w:val="auto"/>
        </w:rPr>
        <w:t xml:space="preserve">, as amended by Amendment No. 1 to the Annual Report on Form 10-K/A, filed with the SEC on </w:t>
      </w:r>
      <w:hyperlink r:id="rId24">
        <w:r>
          <w:rPr>
            <w:rFonts w:ascii="Times New Roman" w:cs="Times New Roman" w:eastAsia="Times New Roman" w:hAnsi="Times New Roman"/>
            <w:sz w:val="18"/>
            <w:szCs w:val="18"/>
            <w:u w:val="single" w:color="auto"/>
            <w:color w:val="0000EE"/>
          </w:rPr>
          <w:t>April 30,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001-38531).</w:t>
      </w:r>
    </w:p>
    <w:p>
      <w:pPr>
        <w:spacing w:after="0" w:line="69" w:lineRule="exact"/>
        <w:rPr>
          <w:rFonts w:ascii="Times New Roman" w:cs="Times New Roman" w:eastAsia="Times New Roman" w:hAnsi="Times New Roman"/>
          <w:sz w:val="18"/>
          <w:szCs w:val="18"/>
          <w:color w:val="auto"/>
        </w:rPr>
      </w:pPr>
    </w:p>
    <w:p>
      <w:pPr>
        <w:ind w:left="960" w:right="320" w:hanging="432"/>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fiscal quarter ended March 31, 2026, filed with the SEC on </w:t>
      </w:r>
      <w:hyperlink r:id="rId25">
        <w:r>
          <w:rPr>
            <w:rFonts w:ascii="Times New Roman" w:cs="Times New Roman" w:eastAsia="Times New Roman" w:hAnsi="Times New Roman"/>
            <w:sz w:val="18"/>
            <w:szCs w:val="18"/>
            <w:u w:val="single" w:color="auto"/>
            <w:color w:val="0000EE"/>
          </w:rPr>
          <w:t>May 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001-38531).</w:t>
      </w:r>
    </w:p>
    <w:p>
      <w:pPr>
        <w:spacing w:after="0" w:line="69" w:lineRule="exact"/>
        <w:rPr>
          <w:rFonts w:ascii="Times New Roman" w:cs="Times New Roman" w:eastAsia="Times New Roman" w:hAnsi="Times New Roman"/>
          <w:sz w:val="18"/>
          <w:szCs w:val="18"/>
          <w:color w:val="auto"/>
        </w:rPr>
      </w:pPr>
    </w:p>
    <w:p>
      <w:pPr>
        <w:ind w:left="960" w:right="60" w:hanging="432"/>
        <w:spacing w:after="0" w:line="262" w:lineRule="auto"/>
        <w:tabs>
          <w:tab w:leader="none" w:pos="960" w:val="left"/>
        </w:tabs>
        <w:numPr>
          <w:ilvl w:val="0"/>
          <w:numId w:val="1"/>
        </w:numPr>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auto"/>
          </w:rPr>
          <w:t xml:space="preserve">The Registrant’s Current Reports on Form 8-K, filed with the SEC on </w:t>
        </w:r>
        <w:r>
          <w:rPr>
            <w:rFonts w:ascii="Times New Roman" w:cs="Times New Roman" w:eastAsia="Times New Roman" w:hAnsi="Times New Roman"/>
            <w:sz w:val="18"/>
            <w:szCs w:val="18"/>
            <w:u w:val="single" w:color="auto"/>
            <w:color w:val="0000EE"/>
          </w:rPr>
          <w:t>February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25,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14,</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
        <w:r>
          <w:rPr>
            <w:rFonts w:ascii="Times New Roman" w:cs="Times New Roman" w:eastAsia="Times New Roman" w:hAnsi="Times New Roman"/>
            <w:sz w:val="18"/>
            <w:szCs w:val="18"/>
            <w:u w:val="single" w:color="auto"/>
            <w:color w:val="0000EE"/>
          </w:rPr>
          <w:t>June 1, 2026</w:t>
        </w:r>
      </w:hyperlink>
      <w:hyperlink r:id="rId2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8">
        <w:r>
          <w:rPr>
            <w:rFonts w:ascii="Times New Roman" w:cs="Times New Roman" w:eastAsia="Times New Roman" w:hAnsi="Times New Roman"/>
            <w:sz w:val="18"/>
            <w:szCs w:val="18"/>
            <w:u w:val="single" w:color="auto"/>
            <w:color w:val="0000EE"/>
          </w:rPr>
          <w:t xml:space="preserve">June 12, 2026 </w:t>
        </w:r>
      </w:hyperlink>
      <w:hyperlink r:id="rId26">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9">
        <w:r>
          <w:rPr>
            <w:rFonts w:ascii="Times New Roman" w:cs="Times New Roman" w:eastAsia="Times New Roman" w:hAnsi="Times New Roman"/>
            <w:sz w:val="18"/>
            <w:szCs w:val="18"/>
            <w:u w:val="single" w:color="auto"/>
            <w:color w:val="0000EE"/>
          </w:rPr>
          <w:t xml:space="preserve">June 15, 2026 </w:t>
        </w:r>
      </w:hyperlink>
      <w:hyperlink r:id="rId26">
        <w:r>
          <w:rPr>
            <w:rFonts w:ascii="Times New Roman" w:cs="Times New Roman" w:eastAsia="Times New Roman" w:hAnsi="Times New Roman"/>
            <w:sz w:val="18"/>
            <w:szCs w:val="18"/>
            <w:color w:val="000000"/>
          </w:rPr>
          <w:t>(excluding those portions furnished pursuant to Item 2.02 and Item 7.01, if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applicable) (File No. 001-38531).</w:t>
      </w:r>
    </w:p>
    <w:p>
      <w:pPr>
        <w:spacing w:after="0" w:line="83" w:lineRule="exact"/>
        <w:rPr>
          <w:rFonts w:ascii="Times New Roman" w:cs="Times New Roman" w:eastAsia="Times New Roman" w:hAnsi="Times New Roman"/>
          <w:sz w:val="18"/>
          <w:szCs w:val="18"/>
          <w:color w:val="0000EE"/>
        </w:rPr>
      </w:pPr>
    </w:p>
    <w:p>
      <w:pPr>
        <w:ind w:left="960" w:right="240" w:hanging="432"/>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securities contained in our Registration Statement on Form 8-A (File No. 001-38531), filed with the SEC on </w:t>
      </w:r>
      <w:hyperlink r:id="rId30">
        <w:r>
          <w:rPr>
            <w:rFonts w:ascii="Times New Roman" w:cs="Times New Roman" w:eastAsia="Times New Roman" w:hAnsi="Times New Roman"/>
            <w:sz w:val="18"/>
            <w:szCs w:val="18"/>
            <w:u w:val="single" w:color="auto"/>
            <w:color w:val="0000EE"/>
          </w:rPr>
          <w:t>June 15, 2018</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63" w:lineRule="exact"/>
        <w:rPr>
          <w:rFonts w:ascii="Times New Roman" w:cs="Times New Roman" w:eastAsia="Times New Roman" w:hAnsi="Times New Roman"/>
          <w:sz w:val="18"/>
          <w:szCs w:val="18"/>
          <w:color w:val="0000EE"/>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1934 Act, prior to the filing of a post-effective amendment which indicates that all securities offered have been sold or which deregisters all securities then remaining unsold, shall be deemed to be incorporated by reference herein and to be a part hereof from the date of filing of such documents, to the extent such documents are considered filed with the SEC.</w:t>
      </w:r>
    </w:p>
    <w:p>
      <w:pPr>
        <w:spacing w:after="0" w:line="182" w:lineRule="exact"/>
        <w:rPr>
          <w:rFonts w:ascii="Times New Roman" w:cs="Times New Roman" w:eastAsia="Times New Roman" w:hAnsi="Times New Roman"/>
          <w:sz w:val="18"/>
          <w:szCs w:val="18"/>
          <w:color w:val="0000EE"/>
        </w:rPr>
      </w:pPr>
    </w:p>
    <w:p>
      <w:pPr>
        <w:ind w:right="40" w:firstLine="436"/>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82" w:lineRule="exact"/>
        <w:rPr>
          <w:rFonts w:ascii="Times New Roman" w:cs="Times New Roman" w:eastAsia="Times New Roman" w:hAnsi="Times New Roman"/>
          <w:sz w:val="18"/>
          <w:szCs w:val="18"/>
          <w:color w:val="0000EE"/>
        </w:rPr>
      </w:pPr>
    </w:p>
    <w:p>
      <w:pPr>
        <w:ind w:right="80" w:firstLine="436"/>
        <w:spacing w:after="0" w:line="277" w:lineRule="auto"/>
        <w:rPr>
          <w:sz w:val="20"/>
          <w:szCs w:val="20"/>
          <w:color w:val="auto"/>
        </w:rPr>
      </w:pPr>
      <w:r>
        <w:rPr>
          <w:rFonts w:ascii="Times New Roman" w:cs="Times New Roman" w:eastAsia="Times New Roman" w:hAnsi="Times New Roman"/>
          <w:sz w:val="18"/>
          <w:szCs w:val="18"/>
          <w:color w:val="auto"/>
        </w:rPr>
        <w:t>You may request copies of these documents, at no cost to you, by writing or telephoning us at the below address. Exhibits to the filings, however, will not be sent, unless those exhibits have specifically been incorporated by reference in this document:</w:t>
      </w:r>
    </w:p>
    <w:p>
      <w:pPr>
        <w:spacing w:after="0" w:line="163"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Repay Holdings Corporation</w:t>
      </w:r>
    </w:p>
    <w:p>
      <w:pPr>
        <w:spacing w:after="0" w:line="26"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3060 Peachtree Road NW</w:t>
      </w:r>
    </w:p>
    <w:p>
      <w:pPr>
        <w:spacing w:after="0" w:line="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Suite 1100</w:t>
      </w:r>
    </w:p>
    <w:p>
      <w:pPr>
        <w:spacing w:after="0" w:line="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Atlanta, GA 30305</w:t>
      </w:r>
    </w:p>
    <w:p>
      <w:pPr>
        <w:spacing w:after="0" w:line="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(404) 504-7472</w:t>
      </w:r>
    </w:p>
    <w:p>
      <w:pPr>
        <w:spacing w:after="0" w:line="344" w:lineRule="exact"/>
        <w:rPr>
          <w:rFonts w:ascii="Times New Roman" w:cs="Times New Roman" w:eastAsia="Times New Roman" w:hAnsi="Times New Roman"/>
          <w:sz w:val="18"/>
          <w:szCs w:val="18"/>
          <w:color w:val="0000EE"/>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18" w:lineRule="exact"/>
        <w:rPr>
          <w:rFonts w:ascii="Times New Roman" w:cs="Times New Roman" w:eastAsia="Times New Roman" w:hAnsi="Times New Roman"/>
          <w:sz w:val="18"/>
          <w:szCs w:val="18"/>
          <w:color w:val="0000EE"/>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500" w:top="264" w:right="539" w:bottom="1440" w:gutter="0" w:footer="0" w:header="0"/>
        </w:sectPr>
      </w:pPr>
    </w:p>
    <w:bookmarkStart w:id="4" w:name="page5"/>
    <w:bookmarkEnd w:id="4"/>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18" w:lineRule="exact"/>
        <w:rPr>
          <w:sz w:val="20"/>
          <w:szCs w:val="20"/>
          <w:color w:val="auto"/>
        </w:rPr>
      </w:pPr>
    </w:p>
    <w:p>
      <w:pPr>
        <w:ind w:left="6" w:right="180" w:firstLine="436"/>
        <w:spacing w:after="0" w:line="257" w:lineRule="auto"/>
        <w:rPr>
          <w:sz w:val="20"/>
          <w:szCs w:val="20"/>
          <w:color w:val="auto"/>
        </w:rPr>
      </w:pPr>
      <w:r>
        <w:rPr>
          <w:rFonts w:ascii="Times New Roman" w:cs="Times New Roman" w:eastAsia="Times New Roman" w:hAnsi="Times New Roman"/>
          <w:sz w:val="18"/>
          <w:szCs w:val="18"/>
          <w:color w:val="auto"/>
        </w:rPr>
        <w:t>Certain legal matters with respect to the validity of the shares of common stock registered hereby will be passed upon for the Company by Tyler B. Dempsey, Esq., General Counsel. Mr. Dempsey is paid a salary by the Company, is a participant in various employee benefit plans offered to the Company’s employees and beneficially owns, or has rights to acquire, an aggregate of less than one percent of the shares of the Company’s Class A common stock.</w:t>
      </w:r>
    </w:p>
    <w:p>
      <w:pPr>
        <w:spacing w:after="0" w:line="325"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18" w:lineRule="exact"/>
        <w:rPr>
          <w:sz w:val="20"/>
          <w:szCs w:val="20"/>
          <w:color w:val="auto"/>
        </w:rPr>
      </w:pPr>
    </w:p>
    <w:p>
      <w:pPr>
        <w:ind w:left="6" w:firstLine="436"/>
        <w:spacing w:after="0" w:line="252"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DGCL provides that Section 145 is not exclusive of other rights to which those seeking indemnification may be entitled under any bylaws, agreement, vote of stockholders or disinterested directors or otherwise. The registrant’s Certificate of Incorporation and Bylaws provide for indemnification by the registrant of its directors and officers to the fullest extent permitted by the DGCL.</w:t>
      </w:r>
    </w:p>
    <w:p>
      <w:pPr>
        <w:spacing w:after="0" w:line="189" w:lineRule="exact"/>
        <w:rPr>
          <w:sz w:val="20"/>
          <w:szCs w:val="20"/>
          <w:color w:val="auto"/>
        </w:rPr>
      </w:pPr>
    </w:p>
    <w:p>
      <w:pPr>
        <w:ind w:left="6" w:right="160" w:firstLine="436"/>
        <w:spacing w:after="0" w:line="268" w:lineRule="auto"/>
        <w:rPr>
          <w:sz w:val="20"/>
          <w:szCs w:val="20"/>
          <w:color w:val="auto"/>
        </w:rPr>
      </w:pPr>
      <w:r>
        <w:rPr>
          <w:rFonts w:ascii="Times New Roman" w:cs="Times New Roman" w:eastAsia="Times New Roman" w:hAnsi="Times New Roman"/>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w:t>
      </w:r>
    </w:p>
    <w:p>
      <w:pPr>
        <w:spacing w:after="0" w:line="1" w:lineRule="exact"/>
        <w:rPr>
          <w:sz w:val="20"/>
          <w:szCs w:val="20"/>
          <w:color w:val="auto"/>
        </w:rPr>
      </w:pPr>
    </w:p>
    <w:p>
      <w:pPr>
        <w:ind w:left="6" w:right="420" w:hanging="6"/>
        <w:spacing w:after="0" w:line="255" w:lineRule="auto"/>
        <w:tabs>
          <w:tab w:leader="none" w:pos="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 The registrant’s Certificate of Incorporation provides for such limitation of liability to the fullest extent permitted by the DGCL.</w:t>
      </w:r>
    </w:p>
    <w:p>
      <w:pPr>
        <w:spacing w:after="0" w:line="182" w:lineRule="exact"/>
        <w:rPr>
          <w:sz w:val="20"/>
          <w:szCs w:val="20"/>
          <w:color w:val="auto"/>
        </w:rPr>
      </w:pPr>
    </w:p>
    <w:p>
      <w:pPr>
        <w:ind w:left="6" w:right="20" w:firstLine="436"/>
        <w:spacing w:after="0" w:line="255"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executive officers to provide contractual indemnification in addition to the indemnification provided in our Certificate of Incorporation. Each indemnification agreement provides for indemnification and advancements by the registrant of certain expenses and costs relating to claims, suits or proceedings arising from his or her service to the registrant or, at our request, service to other entities, as officers or directors to the maximum extent permitted by applicable law. The registrant believes that these provisions and agreements are necessary to attract qualified directors.</w:t>
      </w:r>
    </w:p>
    <w:p>
      <w:pPr>
        <w:spacing w:after="0" w:line="183" w:lineRule="exact"/>
        <w:rPr>
          <w:sz w:val="20"/>
          <w:szCs w:val="20"/>
          <w:color w:val="auto"/>
        </w:rPr>
      </w:pPr>
    </w:p>
    <w:p>
      <w:pPr>
        <w:ind w:left="6" w:right="160" w:firstLine="436"/>
        <w:spacing w:after="0" w:line="257" w:lineRule="auto"/>
        <w:rPr>
          <w:sz w:val="20"/>
          <w:szCs w:val="20"/>
          <w:color w:val="auto"/>
        </w:rPr>
      </w:pPr>
      <w:r>
        <w:rPr>
          <w:rFonts w:ascii="Times New Roman" w:cs="Times New Roman" w:eastAsia="Times New Roman" w:hAnsi="Times New Roman"/>
          <w:sz w:val="18"/>
          <w:szCs w:val="18"/>
          <w:color w:val="auto"/>
        </w:rPr>
        <w:t>The registrant also maintains standard policies of insurance under which coverage is provided (1) to its directors and officers against loss arising from claims made by reason of breach of duty or other wrongful act, while acting in their capacity as directors and officers of the registrant, and (2) to the registrant with respect to payments which may be made by the registrant to such officers and directors pursuant to any indemnification provision contained in the registrant’s Certificate of Incorporation and Bylaws or otherwise as a matter of law.</w:t>
      </w:r>
    </w:p>
    <w:p>
      <w:pPr>
        <w:spacing w:after="0" w:line="325"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6"/>
          </w:cols>
          <w:pgMar w:left="494" w:top="264" w:right="519" w:bottom="1440" w:gutter="0" w:footer="0" w:header="0"/>
        </w:sectPr>
      </w:pPr>
    </w:p>
    <w:bookmarkStart w:id="5" w:name="page6"/>
    <w:bookmarkEnd w:id="5"/>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47" w:lineRule="exact"/>
        <w:rPr>
          <w:sz w:val="20"/>
          <w:szCs w:val="20"/>
          <w:color w:val="auto"/>
        </w:rPr>
      </w:pPr>
    </w:p>
    <w:p>
      <w:pPr>
        <w:ind w:left="6"/>
        <w:spacing w:after="0"/>
        <w:tabs>
          <w:tab w:leader="none" w:pos="826"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10" w:lineRule="exact"/>
        <w:rPr>
          <w:sz w:val="20"/>
          <w:szCs w:val="20"/>
          <w:color w:val="auto"/>
        </w:rPr>
      </w:pPr>
    </w:p>
    <w:p>
      <w:pPr>
        <w:ind w:left="846" w:right="1180" w:hanging="846"/>
        <w:spacing w:after="0" w:line="277" w:lineRule="auto"/>
        <w:tabs>
          <w:tab w:leader="none" w:pos="94"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33">
        <w:r>
          <w:rPr>
            <w:rFonts w:ascii="Times New Roman" w:cs="Times New Roman" w:eastAsia="Times New Roman" w:hAnsi="Times New Roman"/>
            <w:sz w:val="18"/>
            <w:szCs w:val="18"/>
            <w:u w:val="single" w:color="auto"/>
            <w:color w:val="0000EE"/>
          </w:rPr>
          <w:t>Certificate of Incorporation of the Company (incorporated by reference to Exhibit 3.2 of the Company’s Form 8-K (File No.</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001-38531), filed with the SEC on July 17, 2019).</w:t>
        </w:r>
      </w:hyperlink>
    </w:p>
    <w:p>
      <w:pPr>
        <w:spacing w:after="0" w:line="56" w:lineRule="exact"/>
        <w:rPr>
          <w:rFonts w:ascii="Times New Roman" w:cs="Times New Roman" w:eastAsia="Times New Roman" w:hAnsi="Times New Roman"/>
          <w:sz w:val="18"/>
          <w:szCs w:val="18"/>
          <w:u w:val="single" w:color="auto"/>
          <w:color w:val="0000EE"/>
        </w:rPr>
      </w:pPr>
    </w:p>
    <w:p>
      <w:pPr>
        <w:ind w:left="846" w:right="380" w:hanging="846"/>
        <w:spacing w:after="0" w:line="277" w:lineRule="auto"/>
        <w:tabs>
          <w:tab w:leader="none" w:pos="94"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34">
        <w:r>
          <w:rPr>
            <w:rFonts w:ascii="Times New Roman" w:cs="Times New Roman" w:eastAsia="Times New Roman" w:hAnsi="Times New Roman"/>
            <w:sz w:val="18"/>
            <w:szCs w:val="18"/>
            <w:u w:val="single" w:color="auto"/>
            <w:color w:val="0000EE"/>
          </w:rPr>
          <w:t>Amendment to Certificate of Incorporation of the Company (incorporated by reference to Exhibit 3.1 of the Company’s Form 8-K (File</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No. 001-38531), filed with the SEC on June 9, 2022).</w:t>
        </w:r>
      </w:hyperlink>
    </w:p>
    <w:p>
      <w:pPr>
        <w:spacing w:after="0" w:line="56" w:lineRule="exact"/>
        <w:rPr>
          <w:rFonts w:ascii="Times New Roman" w:cs="Times New Roman" w:eastAsia="Times New Roman" w:hAnsi="Times New Roman"/>
          <w:sz w:val="18"/>
          <w:szCs w:val="18"/>
          <w:u w:val="single" w:color="auto"/>
          <w:color w:val="0000EE"/>
        </w:rPr>
      </w:pPr>
    </w:p>
    <w:p>
      <w:pPr>
        <w:ind w:left="846" w:right="560" w:hanging="846"/>
        <w:spacing w:after="0" w:line="277" w:lineRule="auto"/>
        <w:tabs>
          <w:tab w:leader="none" w:pos="94"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hyperlink r:id="rId35">
        <w:r>
          <w:rPr>
            <w:rFonts w:ascii="Times New Roman" w:cs="Times New Roman" w:eastAsia="Times New Roman" w:hAnsi="Times New Roman"/>
            <w:sz w:val="18"/>
            <w:szCs w:val="18"/>
            <w:u w:val="single" w:color="auto"/>
            <w:color w:val="0000EE"/>
          </w:rPr>
          <w:t>Second Amended and Restated Bylaws of the Company (incorporated by reference to Exhibit 3.3 of the Company’s Form 10-Q (File</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No. 001-38531), filed with the SEC on Augus 8, 2024).</w:t>
        </w:r>
      </w:hyperlink>
    </w:p>
    <w:p>
      <w:pPr>
        <w:spacing w:after="0" w:line="56" w:lineRule="exact"/>
        <w:rPr>
          <w:rFonts w:ascii="Times New Roman" w:cs="Times New Roman" w:eastAsia="Times New Roman" w:hAnsi="Times New Roman"/>
          <w:sz w:val="18"/>
          <w:szCs w:val="18"/>
          <w:u w:val="single" w:color="auto"/>
          <w:color w:val="0000EE"/>
        </w:rPr>
      </w:pPr>
    </w:p>
    <w:p>
      <w:pPr>
        <w:ind w:left="846" w:right="260" w:hanging="846"/>
        <w:spacing w:after="0" w:line="277" w:lineRule="auto"/>
        <w:tabs>
          <w:tab w:leader="none" w:pos="94"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hyperlink r:id="rId36">
        <w:r>
          <w:rPr>
            <w:rFonts w:ascii="Times New Roman" w:cs="Times New Roman" w:eastAsia="Times New Roman" w:hAnsi="Times New Roman"/>
            <w:sz w:val="18"/>
            <w:szCs w:val="18"/>
            <w:u w:val="single" w:color="auto"/>
            <w:color w:val="0000EE"/>
          </w:rPr>
          <w:t>Certificate of Designation for Series A Junior Participating Preferred Stock of Repay Holdings Corporation (incorporated by reference to</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Exhibit 3.1 of the Company’s Form 8-K (File No. 001-38531), filed with the SEC on April 14, 2026).</w:t>
        </w:r>
      </w:hyperlink>
    </w:p>
    <w:p>
      <w:pPr>
        <w:spacing w:after="0" w:line="56" w:lineRule="exact"/>
        <w:rPr>
          <w:rFonts w:ascii="Times New Roman" w:cs="Times New Roman" w:eastAsia="Times New Roman" w:hAnsi="Times New Roman"/>
          <w:sz w:val="18"/>
          <w:szCs w:val="18"/>
          <w:u w:val="single" w:color="auto"/>
          <w:color w:val="0000EE"/>
        </w:rPr>
      </w:pPr>
    </w:p>
    <w:p>
      <w:pPr>
        <w:ind w:left="846" w:right="20" w:hanging="846"/>
        <w:spacing w:after="0" w:line="262" w:lineRule="auto"/>
        <w:tabs>
          <w:tab w:leader="none" w:pos="94"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hyperlink r:id="rId37">
        <w:r>
          <w:rPr>
            <w:rFonts w:ascii="Times New Roman" w:cs="Times New Roman" w:eastAsia="Times New Roman" w:hAnsi="Times New Roman"/>
            <w:sz w:val="18"/>
            <w:szCs w:val="18"/>
            <w:u w:val="single" w:color="auto"/>
            <w:color w:val="0000EE"/>
          </w:rPr>
          <w:t>Stockholder Rights Agreement, dated as of April 13, 2026, by and between Repay Holdings Corporation and Continental Stock Transfer &amp;</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Trust Company (incorporated by reference to Exhibit 4.1 of the Company’s Form 8-K (File No. 001-38531), filed with the SEC on April 14,</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2026).</w:t>
        </w:r>
      </w:hyperlink>
    </w:p>
    <w:p>
      <w:pPr>
        <w:spacing w:after="0" w:line="70" w:lineRule="exact"/>
        <w:rPr>
          <w:rFonts w:ascii="Times New Roman" w:cs="Times New Roman" w:eastAsia="Times New Roman" w:hAnsi="Times New Roman"/>
          <w:sz w:val="18"/>
          <w:szCs w:val="18"/>
          <w:u w:val="single" w:color="auto"/>
          <w:color w:val="0000EE"/>
        </w:rPr>
      </w:pPr>
    </w:p>
    <w:p>
      <w:pPr>
        <w:ind w:left="846" w:hanging="846"/>
        <w:spacing w:after="0" w:line="308" w:lineRule="auto"/>
        <w:tabs>
          <w:tab w:leader="none" w:pos="94" w:val="left"/>
        </w:tabs>
        <w:numPr>
          <w:ilvl w:val="0"/>
          <w:numId w:val="3"/>
        </w:numPr>
        <w:rPr>
          <w:rFonts w:ascii="Times New Roman" w:cs="Times New Roman" w:eastAsia="Times New Roman" w:hAnsi="Times New Roman"/>
          <w:sz w:val="17"/>
          <w:szCs w:val="17"/>
          <w:color w:val="0000EE"/>
        </w:rPr>
      </w:pPr>
      <w:r>
        <w:rPr>
          <w:rFonts w:ascii="Times New Roman" w:cs="Times New Roman" w:eastAsia="Times New Roman" w:hAnsi="Times New Roman"/>
          <w:sz w:val="18"/>
          <w:szCs w:val="18"/>
          <w:color w:val="auto"/>
        </w:rPr>
        <w:t>4.6</w:t>
      </w:r>
      <w:hyperlink r:id="rId38">
        <w:r>
          <w:rPr>
            <w:rFonts w:ascii="Times New Roman" w:cs="Times New Roman" w:eastAsia="Times New Roman" w:hAnsi="Times New Roman"/>
            <w:sz w:val="17"/>
            <w:szCs w:val="17"/>
            <w:u w:val="single" w:color="auto"/>
            <w:color w:val="0000EE"/>
          </w:rPr>
          <w:t>Third Amended and Restated Repay Holdings Corporation Omnibus Incentive Plan, effective as of June 10, 2026 (incorporated by reference</w:t>
        </w:r>
      </w:hyperlink>
      <w:r>
        <w:rPr>
          <w:rFonts w:ascii="Times New Roman" w:cs="Times New Roman" w:eastAsia="Times New Roman" w:hAnsi="Times New Roman"/>
          <w:sz w:val="17"/>
          <w:szCs w:val="17"/>
          <w:u w:val="single" w:color="auto"/>
          <w:color w:val="0000EE"/>
        </w:rPr>
        <w:t xml:space="preserve"> </w:t>
      </w:r>
      <w:hyperlink r:id="rId38">
        <w:r>
          <w:rPr>
            <w:rFonts w:ascii="Times New Roman" w:cs="Times New Roman" w:eastAsia="Times New Roman" w:hAnsi="Times New Roman"/>
            <w:sz w:val="17"/>
            <w:szCs w:val="17"/>
            <w:u w:val="single" w:color="auto"/>
            <w:color w:val="0000EE"/>
          </w:rPr>
          <w:t>to Annex A to the Company’s definitive proxy statement on DEFC14A (File No. 001-38531), filed with the SEC on May 11, 2026)</w:t>
        </w:r>
        <w:r>
          <w:rPr>
            <w:rFonts w:ascii="Times New Roman" w:cs="Times New Roman" w:eastAsia="Times New Roman" w:hAnsi="Times New Roman"/>
            <w:sz w:val="17"/>
            <w:szCs w:val="17"/>
            <w:color w:val="000000"/>
          </w:rPr>
          <w:t>.</w:t>
        </w:r>
      </w:hyperlink>
    </w:p>
    <w:p>
      <w:pPr>
        <w:spacing w:after="0" w:line="32" w:lineRule="exact"/>
        <w:rPr>
          <w:rFonts w:ascii="Times New Roman" w:cs="Times New Roman" w:eastAsia="Times New Roman" w:hAnsi="Times New Roman"/>
          <w:sz w:val="17"/>
          <w:szCs w:val="17"/>
          <w:color w:val="0000EE"/>
        </w:rPr>
      </w:pPr>
    </w:p>
    <w:p>
      <w:pPr>
        <w:ind w:left="86" w:hanging="86"/>
        <w:spacing w:after="0"/>
        <w:tabs>
          <w:tab w:leader="none" w:pos="8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w:t>
      </w:r>
      <w:r>
        <w:rPr>
          <w:rFonts w:ascii="Times New Roman" w:cs="Times New Roman" w:eastAsia="Times New Roman" w:hAnsi="Times New Roman"/>
          <w:sz w:val="17"/>
          <w:szCs w:val="17"/>
          <w:u w:val="single" w:color="auto"/>
          <w:color w:val="0000EE"/>
        </w:rPr>
        <w:t>Opinion of Tyler B. Dempsey, Esq.</w:t>
      </w:r>
    </w:p>
    <w:p>
      <w:pPr>
        <w:spacing w:after="0" w:line="125" w:lineRule="exact"/>
        <w:rPr>
          <w:rFonts w:ascii="Times New Roman" w:cs="Times New Roman" w:eastAsia="Times New Roman" w:hAnsi="Times New Roman"/>
          <w:sz w:val="18"/>
          <w:szCs w:val="18"/>
          <w:color w:val="auto"/>
        </w:rPr>
      </w:pPr>
    </w:p>
    <w:p>
      <w:pPr>
        <w:ind w:left="6"/>
        <w:spacing w:after="0"/>
        <w:tabs>
          <w:tab w:leader="none" w:pos="826"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Grant Thornton LLP.</w:t>
      </w:r>
    </w:p>
    <w:p>
      <w:pPr>
        <w:spacing w:after="0" w:line="114" w:lineRule="exact"/>
        <w:rPr>
          <w:rFonts w:ascii="Times New Roman" w:cs="Times New Roman" w:eastAsia="Times New Roman" w:hAnsi="Times New Roman"/>
          <w:sz w:val="18"/>
          <w:szCs w:val="18"/>
          <w:color w:val="auto"/>
        </w:rPr>
      </w:pPr>
    </w:p>
    <w:p>
      <w:pPr>
        <w:ind w:left="6"/>
        <w:spacing w:after="0"/>
        <w:tabs>
          <w:tab w:leader="none" w:pos="826"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Tyler B. Dempsey, Esq. (included in Exhibit 5.1).</w:t>
      </w:r>
    </w:p>
    <w:p>
      <w:pPr>
        <w:spacing w:after="0" w:line="114" w:lineRule="exact"/>
        <w:rPr>
          <w:rFonts w:ascii="Times New Roman" w:cs="Times New Roman" w:eastAsia="Times New Roman" w:hAnsi="Times New Roman"/>
          <w:sz w:val="18"/>
          <w:szCs w:val="18"/>
          <w:color w:val="auto"/>
        </w:rPr>
      </w:pPr>
    </w:p>
    <w:p>
      <w:pPr>
        <w:ind w:left="6"/>
        <w:spacing w:after="0"/>
        <w:tabs>
          <w:tab w:leader="none" w:pos="826"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(contained on the signature page hereto).</w:t>
      </w:r>
    </w:p>
    <w:p>
      <w:pPr>
        <w:spacing w:after="0" w:line="114" w:lineRule="exact"/>
        <w:rPr>
          <w:rFonts w:ascii="Times New Roman" w:cs="Times New Roman" w:eastAsia="Times New Roman" w:hAnsi="Times New Roman"/>
          <w:sz w:val="18"/>
          <w:szCs w:val="18"/>
          <w:color w:val="auto"/>
        </w:rPr>
      </w:pPr>
    </w:p>
    <w:p>
      <w:pPr>
        <w:ind w:left="6"/>
        <w:spacing w:after="0"/>
        <w:tabs>
          <w:tab w:leader="none" w:pos="826"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55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4"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  Filed herewith.</w:t>
      </w:r>
    </w:p>
    <w:p>
      <w:pPr>
        <w:spacing w:after="0" w:line="363" w:lineRule="exact"/>
        <w:rPr>
          <w:rFonts w:ascii="Times New Roman" w:cs="Times New Roman" w:eastAsia="Times New Roman" w:hAnsi="Times New Roman"/>
          <w:sz w:val="18"/>
          <w:szCs w:val="18"/>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8" w:lineRule="exact"/>
        <w:rPr>
          <w:rFonts w:ascii="Times New Roman" w:cs="Times New Roman" w:eastAsia="Times New Roman" w:hAnsi="Times New Roman"/>
          <w:sz w:val="18"/>
          <w:szCs w:val="18"/>
          <w:color w:val="auto"/>
        </w:rPr>
      </w:pPr>
    </w:p>
    <w:p>
      <w:pPr>
        <w:ind w:left="686" w:hanging="250"/>
        <w:spacing w:after="0"/>
        <w:tabs>
          <w:tab w:leader="none" w:pos="6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3" w:lineRule="exact"/>
        <w:rPr>
          <w:rFonts w:ascii="Times New Roman" w:cs="Times New Roman" w:eastAsia="Times New Roman" w:hAnsi="Times New Roman"/>
          <w:sz w:val="18"/>
          <w:szCs w:val="18"/>
          <w:color w:val="auto"/>
        </w:rPr>
      </w:pPr>
    </w:p>
    <w:p>
      <w:pPr>
        <w:ind w:left="1106" w:hanging="252"/>
        <w:spacing w:after="0"/>
        <w:tabs>
          <w:tab w:leader="none" w:pos="110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1586" w:hanging="209"/>
        <w:spacing w:after="0"/>
        <w:tabs>
          <w:tab w:leader="none" w:pos="1586"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and</w:t>
      </w:r>
    </w:p>
    <w:p>
      <w:pPr>
        <w:spacing w:after="0" w:line="113" w:lineRule="exact"/>
        <w:rPr>
          <w:rFonts w:ascii="Times New Roman" w:cs="Times New Roman" w:eastAsia="Times New Roman" w:hAnsi="Times New Roman"/>
          <w:sz w:val="18"/>
          <w:szCs w:val="18"/>
          <w:color w:val="auto"/>
        </w:rPr>
      </w:pPr>
    </w:p>
    <w:p>
      <w:pPr>
        <w:ind w:left="986" w:firstLine="391"/>
        <w:spacing w:after="0" w:line="252" w:lineRule="auto"/>
        <w:tabs>
          <w:tab w:leader="none" w:pos="1645"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22" w:lineRule="exact"/>
        <w:rPr>
          <w:rFonts w:ascii="Times New Roman" w:cs="Times New Roman" w:eastAsia="Times New Roman" w:hAnsi="Times New Roman"/>
          <w:sz w:val="18"/>
          <w:szCs w:val="18"/>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6"/>
          </w:cols>
          <w:pgMar w:left="494" w:top="264" w:right="539" w:bottom="1440" w:gutter="0" w:footer="0" w:header="0"/>
        </w:sectPr>
      </w:pPr>
    </w:p>
    <w:bookmarkStart w:id="6" w:name="page7"/>
    <w:bookmarkEnd w:id="6"/>
    <w:p>
      <w:pPr>
        <w:ind w:left="960" w:right="160" w:firstLine="391"/>
        <w:spacing w:after="0" w:line="277" w:lineRule="auto"/>
        <w:tabs>
          <w:tab w:leader="none" w:pos="16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include material information with respect to the plan of distribution not previously disclosed in the registration statement or any material change to such information in the registration statement</w:t>
      </w:r>
    </w:p>
    <w:p>
      <w:pPr>
        <w:spacing w:after="0" w:line="55"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SEC by the Registrant pursuant to Section 13 or 15(d) of the Exchange Act that are incorporated by reference in this registration statement.</w:t>
      </w:r>
    </w:p>
    <w:p>
      <w:pPr>
        <w:spacing w:after="0" w:line="70" w:lineRule="exact"/>
        <w:rPr>
          <w:sz w:val="20"/>
          <w:szCs w:val="20"/>
          <w:color w:val="auto"/>
        </w:rPr>
      </w:pPr>
    </w:p>
    <w:p>
      <w:pPr>
        <w:ind w:left="400" w:right="40" w:firstLine="428"/>
        <w:spacing w:after="0" w:line="262" w:lineRule="auto"/>
        <w:tabs>
          <w:tab w:leader="none" w:pos="107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70" w:lineRule="exact"/>
        <w:rPr>
          <w:rFonts w:ascii="Times New Roman" w:cs="Times New Roman" w:eastAsia="Times New Roman" w:hAnsi="Times New Roman"/>
          <w:sz w:val="18"/>
          <w:szCs w:val="18"/>
          <w:color w:val="auto"/>
        </w:rPr>
      </w:pPr>
    </w:p>
    <w:p>
      <w:pPr>
        <w:ind w:left="400" w:right="180" w:firstLine="428"/>
        <w:spacing w:after="0" w:line="277" w:lineRule="auto"/>
        <w:tabs>
          <w:tab w:leader="none" w:pos="107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ind w:left="-20" w:right="40" w:firstLine="430"/>
        <w:spacing w:after="0" w:line="255" w:lineRule="auto"/>
        <w:tabs>
          <w:tab w:leader="none" w:pos="6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82" w:lineRule="exact"/>
        <w:rPr>
          <w:rFonts w:ascii="Times New Roman" w:cs="Times New Roman" w:eastAsia="Times New Roman" w:hAnsi="Times New Roman"/>
          <w:sz w:val="18"/>
          <w:szCs w:val="18"/>
          <w:color w:val="auto"/>
        </w:rPr>
      </w:pPr>
    </w:p>
    <w:p>
      <w:pPr>
        <w:ind w:left="-20" w:right="100" w:firstLine="430"/>
        <w:spacing w:after="0" w:line="252" w:lineRule="auto"/>
        <w:tabs>
          <w:tab w:leader="none" w:pos="6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520" w:top="268" w:right="5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34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Atlanta, State of Georgia, on June 16, 2026.</w:t>
      </w:r>
    </w:p>
    <w:p>
      <w:pPr>
        <w:spacing w:after="0" w:line="19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219" w:lineRule="exact"/>
        <w:rPr>
          <w:sz w:val="20"/>
          <w:szCs w:val="20"/>
          <w:color w:val="auto"/>
        </w:rPr>
      </w:pPr>
    </w:p>
    <w:tbl>
      <w:tblPr>
        <w:tblLayout w:type="fixed"/>
        <w:tblInd w:w="654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Morris</w:t>
            </w:r>
          </w:p>
        </w:tc>
      </w:tr>
      <w:tr>
        <w:trPr>
          <w:trHeight w:val="202"/>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John Morris</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500" w:top="264"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POWERS OF ATTORNEY</w:t>
      </w:r>
    </w:p>
    <w:p>
      <w:pPr>
        <w:spacing w:after="0" w:line="224"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John Morris and Tyler B. Dempsey or any of them, his true and lawful attorneys-in-fact and agents, with full power of substitution and resubstitution, for him and in his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to perform each and every act and thing requisite and necessary to be done in and about the premises, as fully and to all intents and purposes as he might or would do in person, hereby ratifying and confirming all that said attorneys-in-fact and agents or any of them, or their or his substitute or substitutes, may lawfully do or cause to be done by virtue hereof.</w:t>
      </w:r>
    </w:p>
    <w:p>
      <w:pPr>
        <w:spacing w:after="0" w:line="189"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Morris</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Morris</w:t>
            </w:r>
          </w:p>
        </w:tc>
        <w:tc>
          <w:tcPr>
            <w:tcW w:w="120" w:type="dxa"/>
            <w:vAlign w:val="bottom"/>
          </w:tcPr>
          <w:p>
            <w:pPr>
              <w:spacing w:after="0"/>
              <w:rPr>
                <w:sz w:val="19"/>
                <w:szCs w:val="19"/>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S. Houser</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S. Houser</w:t>
            </w:r>
          </w:p>
        </w:tc>
        <w:tc>
          <w:tcPr>
            <w:tcW w:w="120" w:type="dxa"/>
            <w:vAlign w:val="bottom"/>
          </w:tcPr>
          <w:p>
            <w:pPr>
              <w:spacing w:after="0"/>
              <w:rPr>
                <w:sz w:val="19"/>
                <w:szCs w:val="19"/>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Thomas Sullivan</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Accounting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Sullivan</w:t>
            </w:r>
          </w:p>
        </w:tc>
        <w:tc>
          <w:tcPr>
            <w:tcW w:w="120" w:type="dxa"/>
            <w:vAlign w:val="bottom"/>
          </w:tcPr>
          <w:p>
            <w:pPr>
              <w:spacing w:after="0"/>
              <w:rPr>
                <w:sz w:val="19"/>
                <w:szCs w:val="19"/>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Peter Kight</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Peter Kight</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Paul Garcia</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Garcia</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Maryann Goebel</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Maryann Goebel</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Thornburgh</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Richard Thornburgh</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Emnet Rios</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Emnet Rios</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0900"/>
          </w:cols>
          <w:pgMar w:left="500" w:top="264" w:right="4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1823720" cy="678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1823720" cy="67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16,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 Holdings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3060 Peachtree Road NW</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1100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30305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 am General Counsel for Repay Holdings Corporation, a Delaware corporation (the “Company”), and have advised the Company in connection with the Registration Statement on Form S-8 (the “Registration Statement”), as filed by the Company with the Securities and Exchange Commission (the “Commission”) on the date hereof, pursuant to the Securities Act of 1933, as amended (the “Securities Act”), to register 2,500,000 shares (the “Shares”) of Class A common stock, $0.0001 par value per share, of the Company (the “Common Stock”), issuable by the Company from time to time pursuant to the Repay Holdings Corporation Third Amended and Restated Omnibus Incentive Plan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8(a) of Form S-8 and Item 601(b)(5)(i) of Regulation S-K.</w:t>
      </w:r>
    </w:p>
    <w:p>
      <w:pPr>
        <w:spacing w:after="0" w:line="22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 have examined originals or copies of such corporate records, agreements and instruments of the Company, statements and certificates of public officials and officers of the Company, and such other documents, records and instruments, including the Plan, and I have made such legal and factual inquiries as I have deemed necessary or appropriate as a basis for me to render the opinions hereinafter expressed. In my examination of the foregoing, I have assumed the genuineness of all signatures, the legal competence and capacity of natural persons, the authenticity of documents submitted to me as originals and the conformity with authentic original documents of all documents submitted to me as copies. When relevant facts were not independently established, I have relied without independent investigation as to matters of fact upon statements of governmental officials and upon representations made in or pursuant to the certificates and statements of appropriate representatives of the Company.</w:t>
      </w:r>
    </w:p>
    <w:p>
      <w:pPr>
        <w:spacing w:after="0" w:line="18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 connection herewith, I have assumed that (i) all of the documents referred to in this opinion letter have been duly authorized by, have been duly executed and delivered by, and constitute the valid, binding and enforceable obligations of, all of the parties to such documents, (ii) all of the signatories to the documents referred to in this opinion letter have been duly authorized, and (iii) all of the parties to the documents referred to in this opinion letter are duly organized and validly existing and have the power and authority (corporate or other) to execute, deliver and perform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6921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3060 Peachtree Rd NW Suite 1100, Atlanta, GA 30305 • 877.607.5468 • repay.com</w:t>
      </w:r>
    </w:p>
    <w:p>
      <w:pPr>
        <w:sectPr>
          <w:pgSz w:w="11900" w:h="16838" w:orient="portrait"/>
          <w:cols w:equalWidth="0" w:num="1">
            <w:col w:w="10900"/>
          </w:cols>
          <w:pgMar w:left="500" w:top="117" w:right="499" w:bottom="1440" w:gutter="0" w:footer="0" w:header="0"/>
        </w:sectPr>
      </w:pPr>
    </w:p>
    <w:bookmarkStart w:id="10" w:name="page11"/>
    <w:bookmarkEnd w:id="1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do not purport to express an opinion on any laws other than the laws of the State of Delaware. The opinions set forth herein are made as of the date hereof and are subject to, and may be limited by, future changes in the factual matters set forth herein, and I undertake no duty to advise you of the same. The opinions expressed herein are based upon the law in effect (and published or otherwise generally available) on the date hereof, and I assume no obligation to revise or supplement these opinions should such law be changed by legislative action, judicial decision or otherwise. In rendering my opinions, I have not considered, and hereby disclaim any opinion as to, the application or impact of any laws, cases, decisions, rules or regulations of any other jurisdiction, court or administrative agency.</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Based upon the foregoing and in reliance thereon, and subject to the assumptions, comments, qualifications, limitations and exceptions set forth herein, I am of the opinion that the Shares have been duly authorized for issuance, and when issued, delivered and paid for in accordance with the Plan (assuming that, upon any issuance of the Shares, the total number of shares of Common Stock issued and outstanding will not exceed the total number of shares of Common Stock that the Company is then authorized to issue under its Certificate of Incorporation), the Shares will be legally issued, fully paid and non-assessable.</w:t>
      </w:r>
    </w:p>
    <w:p>
      <w:pPr>
        <w:spacing w:after="0" w:line="18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 do not render any opinions except as set forth above. I hereby consent to the filing of this opinion as Exhibit 5.1 to the Registration Statement and to the use of my name under the caption “Legal Matters” in the prospectus filed as a part thereof. I also consent to your filing copies of this opinion as an exhibit to the Registration Statement with such agencies of such states as you deem necessary in the course of complying with the laws of such states regarding the offering and sale of the securities addressed herein. In giving this consent, I do not admit that I am within the category of persons whose consent is required by Section 7 of the Securities Act or the rules and regulations promulgated thereunder by the Commission.</w:t>
      </w:r>
    </w:p>
    <w:p>
      <w:pPr>
        <w:spacing w:after="0" w:line="21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Tyler B. Dempsey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15875</wp:posOffset>
            </wp:positionV>
            <wp:extent cx="27654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Tyler B. Dempsey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500" w:top="268" w:right="4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We have issued our reports dated March 9, 2026, with respect to the consolidated financial statements and internal control over financial reporting included in the Annual Report of Repay Holdings Corporation on Form 10-K for the year ended December 31, 2025, which are incorporated by reference in this Registration Statement. We consent to the incorporation by reference of the aforementioned reports in this Registration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ectPr>
          <w:pgSz w:w="11900" w:h="16838" w:orient="portrait"/>
          <w:cols w:equalWidth="0" w:num="1">
            <w:col w:w="10900"/>
          </w:cols>
          <w:pgMar w:left="500" w:top="117" w:right="499" w:bottom="1440" w:gutter="0" w:footer="0" w:header="0"/>
        </w:sectPr>
      </w:pPr>
    </w:p>
    <w:bookmarkStart w:id="12" w:name="page13"/>
    <w:bookmarkEnd w:id="12"/>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Repay Holdings Corp</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Class A</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2,500,000</w:t>
            </w:r>
          </w:p>
        </w:tc>
        <w:tc>
          <w:tcPr>
            <w:tcW w:w="20" w:type="dxa"/>
            <w:vAlign w:val="bottom"/>
          </w:tcPr>
          <w:p>
            <w:pPr>
              <w:spacing w:after="0"/>
              <w:rPr>
                <w:sz w:val="20"/>
                <w:szCs w:val="2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$ 3.39</w:t>
            </w:r>
          </w:p>
        </w:tc>
        <w:tc>
          <w:tcPr>
            <w:tcW w:w="40" w:type="dxa"/>
            <w:vAlign w:val="bottom"/>
          </w:tcPr>
          <w:p>
            <w:pPr>
              <w:spacing w:after="0"/>
              <w:rPr>
                <w:sz w:val="20"/>
                <w:szCs w:val="20"/>
                <w:color w:val="auto"/>
              </w:rPr>
            </w:pPr>
          </w:p>
        </w:tc>
        <w:tc>
          <w:tcPr>
            <w:tcW w:w="14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$ 8,475,000.00</w:t>
            </w:r>
          </w:p>
        </w:tc>
        <w:tc>
          <w:tcPr>
            <w:tcW w:w="40" w:type="dxa"/>
            <w:vAlign w:val="bottom"/>
          </w:tcPr>
          <w:p>
            <w:pPr>
              <w:spacing w:after="0"/>
              <w:rPr>
                <w:sz w:val="20"/>
                <w:szCs w:val="2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$ 1,170.40</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0" w:type="dxa"/>
            <w:vAlign w:val="bottom"/>
            <w:tcBorders>
              <w:left w:val="single" w:sz="8" w:color="auto"/>
            </w:tcBorders>
          </w:tcPr>
          <w:p>
            <w:pPr>
              <w:spacing w:after="0"/>
              <w:rPr>
                <w:sz w:val="14"/>
                <w:szCs w:val="14"/>
                <w:color w:val="auto"/>
              </w:rPr>
            </w:pPr>
          </w:p>
        </w:tc>
        <w:tc>
          <w:tcPr>
            <w:tcW w:w="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restart"/>
            <w:shd w:val="clear" w:color="auto" w:fill="E7E7E2"/>
          </w:tcPr>
          <w:p>
            <w:pPr>
              <w:spacing w:after="0" w:line="240" w:lineRule="exact"/>
              <w:rPr>
                <w:sz w:val="20"/>
                <w:szCs w:val="20"/>
                <w:color w:val="auto"/>
              </w:rPr>
            </w:pPr>
            <w:r>
              <w:rPr>
                <w:rFonts w:ascii="Arial" w:cs="Arial" w:eastAsia="Arial" w:hAnsi="Arial"/>
                <w:sz w:val="21"/>
                <w:szCs w:val="21"/>
                <w:color w:val="auto"/>
              </w:rPr>
              <w:t>$0.001</w:t>
            </w:r>
          </w:p>
        </w:tc>
        <w:tc>
          <w:tcPr>
            <w:tcW w:w="20" w:type="dxa"/>
            <w:vAlign w:val="bottom"/>
          </w:tcPr>
          <w:p>
            <w:pPr>
              <w:spacing w:after="0"/>
              <w:rPr>
                <w:sz w:val="14"/>
                <w:szCs w:val="14"/>
                <w:color w:val="auto"/>
              </w:rPr>
            </w:pPr>
          </w:p>
        </w:tc>
        <w:tc>
          <w:tcPr>
            <w:tcW w:w="12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vMerge w:val="continue"/>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0" w:type="dxa"/>
            <w:vAlign w:val="bottom"/>
            <w:tcBorders>
              <w:left w:val="single" w:sz="8" w:color="auto"/>
            </w:tcBorders>
          </w:tcPr>
          <w:p>
            <w:pPr>
              <w:spacing w:after="0"/>
              <w:rPr>
                <w:sz w:val="6"/>
                <w:szCs w:val="6"/>
                <w:color w:val="auto"/>
              </w:rPr>
            </w:pPr>
          </w:p>
        </w:tc>
        <w:tc>
          <w:tcPr>
            <w:tcW w:w="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shd w:val="clear" w:color="auto" w:fill="E7E7E2"/>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$ 8,475,000.00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$ 1,170.40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$ 1,170.40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00" w:hanging="225"/>
        <w:spacing w:after="0" w:line="235" w:lineRule="auto"/>
        <w:tabs>
          <w:tab w:leader="none" w:pos="800" w:val="left"/>
        </w:tabs>
        <w:numPr>
          <w:ilvl w:val="0"/>
          <w:numId w:val="8"/>
        </w:numPr>
        <w:rPr>
          <w:rFonts w:ascii="Arial" w:cs="Arial" w:eastAsia="Arial" w:hAnsi="Arial"/>
          <w:sz w:val="27"/>
          <w:szCs w:val="27"/>
          <w:color w:val="auto"/>
          <w:vertAlign w:val="superscript"/>
        </w:rPr>
      </w:pPr>
      <w:r>
        <w:rPr>
          <w:rFonts w:ascii="Arial" w:cs="Arial" w:eastAsia="Arial" w:hAnsi="Arial"/>
          <w:sz w:val="21"/>
          <w:szCs w:val="21"/>
          <w:color w:val="auto"/>
        </w:rPr>
        <w:t>(1) Pursuant to Rule 416(a) promulgated under the Securities Act of 1933, as amended (the "Securities Act"), this Registration Statement shall also cover any additional shares of Class A common stock, par value $0.001 per share ("Common Stock"), of Repay Holdings Corporation (the "Company") that become issuable under the Repay Holdings Corporation Omnibus Incentive Plan (the "Omnibus Incentive Plan") by reason of any future stock dividend, stock split, recapitalization or other similar transaction. (2) Estimated pursuant to Rules 457(h) and 457(c) solely for the purpose of computing the registration fee, based on the average of the high and low prices of the securities being registered hereby on The Nasdaq Capital Market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83185</wp:posOffset>
            </wp:positionV>
            <wp:extent cx="63874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8"/>
                <w:szCs w:val="18"/>
                <w:color w:val="auto"/>
              </w:rPr>
            </w:pPr>
          </w:p>
        </w:tc>
        <w:tc>
          <w:tcPr>
            <w:tcW w:w="8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40"/>
        </w:trPr>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24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600" w:type="dxa"/>
            <w:vAlign w:val="bottom"/>
            <w:vMerge w:val="continue"/>
            <w:shd w:val="clear" w:color="auto" w:fill="9ADAF6"/>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shd w:val="clear" w:color="auto" w:fill="9ADAF6"/>
          </w:tcPr>
          <w:p>
            <w:pPr>
              <w:spacing w:after="0"/>
              <w:rPr>
                <w:sz w:val="6"/>
                <w:szCs w:val="6"/>
                <w:color w:val="auto"/>
              </w:rPr>
            </w:pPr>
          </w:p>
        </w:tc>
        <w:tc>
          <w:tcPr>
            <w:tcW w:w="0" w:type="dxa"/>
            <w:vAlign w:val="bottom"/>
          </w:tcPr>
          <w:p>
            <w:pPr>
              <w:spacing w:after="0"/>
              <w:rPr>
                <w:sz w:val="1"/>
                <w:szCs w:val="1"/>
                <w:color w:val="auto"/>
              </w:rPr>
            </w:pPr>
          </w:p>
        </w:tc>
      </w:tr>
      <w:tr>
        <w:trPr>
          <w:trHeight w:val="468"/>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 "/>
      <w:numFmt w:val="bullet"/>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lowerLetter"/>
      <w:start w:val="1"/>
    </w:lvl>
    <w:lvl w:ilvl="1">
      <w:lvlJc w:val="left"/>
      <w:lvlText w:val="(%2)"/>
      <w:numFmt w:val="decimal"/>
      <w:start w:val="2"/>
    </w:lvl>
  </w:abstractNum>
  <w:abstractNum w:abstractNumId="6">
    <w:nsid w:val="79E2A9E3"/>
    <w:multiLevelType w:val="hybridMultilevel"/>
    <w:lvl w:ilvl="0">
      <w:lvlJc w:val="left"/>
      <w:lvlText w:val="(%1)"/>
      <w:numFmt w:val="lowerLetter"/>
      <w:start w:val="2"/>
    </w:lvl>
    <w:lvl w:ilvl="1">
      <w:lvlJc w:val="left"/>
      <w:lvlText w:val="%2"/>
      <w:numFmt w:val="decimal"/>
      <w:start w:val="1"/>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jpe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18" Type="http://schemas.openxmlformats.org/officeDocument/2006/relationships/hyperlink" Target="http://www.sec.gov/Archives/edgar/data/1720592/000121390019018571/fs82019_repayholding.htm" TargetMode="External"/><Relationship Id="rId19" Type="http://schemas.openxmlformats.org/officeDocument/2006/relationships/hyperlink" Target="http://www.sec.gov/Archives/edgar/data/1720592/000119312522170174/d308738ds8.htm" TargetMode="External"/><Relationship Id="rId20" Type="http://schemas.openxmlformats.org/officeDocument/2006/relationships/hyperlink" Target="http://www.sec.gov/Archives/edgar/data/1720592/000110465924066639/tm2415600d1_s8.htm" TargetMode="External"/><Relationship Id="rId23" Type="http://schemas.openxmlformats.org/officeDocument/2006/relationships/hyperlink" Target="http://www.sec.gov/ix?doc=/Archives/edgar/data/0001720592/000119312526098518/rpay-20251231.htm" TargetMode="External"/><Relationship Id="rId24" Type="http://schemas.openxmlformats.org/officeDocument/2006/relationships/hyperlink" Target="http://www.sec.gov/ix?doc=/Archives/edgar/data/0001720592/000119312526197195/rpay-20251231.htm" TargetMode="External"/><Relationship Id="rId25" Type="http://schemas.openxmlformats.org/officeDocument/2006/relationships/hyperlink" Target="http://www.sec.gov/ix?doc=/Archives/edgar/data/0001720592/000119312526204011/rpay-20260331.htm" TargetMode="External"/><Relationship Id="rId26" Type="http://schemas.openxmlformats.org/officeDocument/2006/relationships/hyperlink" Target="http://www.sec.gov/ix?doc=/Archives/edgar/data/0001720592/000119312526153953/d893808d8k.htm" TargetMode="External"/><Relationship Id="rId27" Type="http://schemas.openxmlformats.org/officeDocument/2006/relationships/hyperlink" Target="http://www.sec.gov/ix?doc=/Archives/edgar/data/0001720592/000119312526251442/rpay-20260601.htm" TargetMode="External"/><Relationship Id="rId28" Type="http://schemas.openxmlformats.org/officeDocument/2006/relationships/hyperlink" Target="http://www.sec.gov/ix?doc=/Archives/edgar/data/0001720592/000172059226000002/rpay-20260610.htm" TargetMode="External"/><Relationship Id="rId29" Type="http://schemas.openxmlformats.org/officeDocument/2006/relationships/hyperlink" Target="http://www.sec.gov/ix?doc=/Archives/edgar/data/0001720592/000172059226000004/rpay-20260612.htm" TargetMode="External"/><Relationship Id="rId30" Type="http://schemas.openxmlformats.org/officeDocument/2006/relationships/hyperlink" Target="http://www.sec.gov/Archives/edgar/data/1720592/000121390018007717/f8a12b061518_thunderbridge.htm" TargetMode="External"/><Relationship Id="rId33" Type="http://schemas.openxmlformats.org/officeDocument/2006/relationships/hyperlink" Target="http://www.sec.gov/Archives/edgar/data/1720592/000121390019013004/f8k0719ex3-2_repayhold.htm" TargetMode="External"/><Relationship Id="rId34" Type="http://schemas.openxmlformats.org/officeDocument/2006/relationships/hyperlink" Target="http://www.sec.gov/Archives/edgar/data/1720592/000119312522170564/d359800dex31.htm" TargetMode="External"/><Relationship Id="rId35" Type="http://schemas.openxmlformats.org/officeDocument/2006/relationships/hyperlink" Target="http://www.sec.gov/Archives/edgar/data/1720592/000095017024094030/rpay-ex3_3.htm" TargetMode="External"/><Relationship Id="rId36" Type="http://schemas.openxmlformats.org/officeDocument/2006/relationships/hyperlink" Target="http://www.sec.gov/Archives/edgar/data/1720592/000119312526153953/d893808dex31.htm" TargetMode="External"/><Relationship Id="rId37" Type="http://schemas.openxmlformats.org/officeDocument/2006/relationships/hyperlink" Target="http://www.sec.gov/Archives/edgar/data/1720592/000119312526153953/d893808dex41.htm" TargetMode="External"/><Relationship Id="rId38" Type="http://schemas.openxmlformats.org/officeDocument/2006/relationships/hyperlink" Target="http://www.sec.gov/ix?doc=/Archives/edgar/data/0001720592/000119312526215760/rpay-20260511.htm#annex_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2026-06-16T16:12:52Z</dcterms:created>
  <dcterms:modified xsi:type="dcterms:W3CDTF">2026-06-16T16:12:52Z</dcterms:modified>
</cp:coreProperties>
</file>