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Repay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 Vezendan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3889 Maple Avenue, Suite 220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913-908-4943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Veradace Capital Management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7,355,504.00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7,355,504.00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7,355,504.00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Veradace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7,355,504.00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7,355,504.00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7,355,504.00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8.6 %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Alexander Vezendan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7,355,504.00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7,355,504.00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7,355,504.00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Conlin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7,355,504.00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7,355,504.00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7,355,504.00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line="9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Repay Holdings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3060 PEACHTREE ROAD NW, SUITE 1100, Atlanta, GEORGIA , 30305.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1"/>
          <w:szCs w:val="21"/>
          <w:color w:val="auto"/>
        </w:rPr>
        <w:t>This statement is being jointly filed by and on behalf of each of Veradace Capital Management LLC, a Delaware limited liability company ("Veradace"), Veradace Partners L.P., a Delaware limited partnership (the "Fund"), Alexander Vezendan, and John Conlin. The Fund is the record and direct beneficial owner of the securities covered by this statement. As the investment adviser to the Fund, Veradace may be deemed to beneficially own the securities covered by this statement. Messrs. Vezendan and Conlin are the Principals of and may be deemed to beneficially own securities owned by, Veradace. The total number of shares owned consists of 7,245,104 shares of common stock and options to purchase 110,400 shares of common stock. Each reporting person declares that neither the filing of this</w:t>
      </w:r>
    </w:p>
    <w:p>
      <w:pPr>
        <w:spacing w:after="0" w:line="6" w:lineRule="exact"/>
        <w:rPr>
          <w:sz w:val="20"/>
          <w:szCs w:val="20"/>
          <w:color w:val="auto"/>
        </w:rPr>
      </w:pPr>
    </w:p>
    <w:p>
      <w:pPr>
        <w:ind w:left="940" w:right="20" w:hanging="932"/>
        <w:spacing w:after="0" w:line="209"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2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3889 Maple Avenue, Suite 220, Dallas, TX 75219</w:t>
      </w:r>
    </w:p>
    <w:p>
      <w:pPr>
        <w:spacing w:after="0" w:line="44" w:lineRule="exact"/>
        <w:rPr>
          <w:rFonts w:ascii="Times New Roman" w:cs="Times New Roman" w:eastAsia="Times New Roman" w:hAnsi="Times New Roman"/>
          <w:sz w:val="22"/>
          <w:szCs w:val="22"/>
          <w:color w:val="auto"/>
        </w:rPr>
      </w:pPr>
    </w:p>
    <w:p>
      <w:pPr>
        <w:ind w:left="940" w:right="30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is principally engaged in the business of acquiring, holding, voting and disposing of various public securities investments</w:t>
      </w:r>
    </w:p>
    <w:p>
      <w:pPr>
        <w:spacing w:after="0" w:line="17" w:lineRule="exact"/>
        <w:rPr>
          <w:rFonts w:ascii="Times New Roman" w:cs="Times New Roman" w:eastAsia="Times New Roman" w:hAnsi="Times New Roman"/>
          <w:sz w:val="39"/>
          <w:szCs w:val="39"/>
          <w:color w:val="auto"/>
          <w:vertAlign w:val="subscript"/>
        </w:rPr>
      </w:pPr>
    </w:p>
    <w:p>
      <w:pPr>
        <w:ind w:left="940" w:right="48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26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929" w:orient="portrait"/>
          <w:cols w:equalWidth="0" w:num="1">
            <w:col w:w="11160"/>
          </w:cols>
          <w:pgMar w:left="360" w:top="112" w:right="379" w:bottom="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22"/>
          <w:szCs w:val="22"/>
          <w:color w:val="auto"/>
        </w:rPr>
        <w:t>Veradace and the Fund are each organized under the laws of the State of Delaware. Messrs. Vezendan and Conlin are both citizens of the United States.</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As of April 8, 2026, the Fund, the record and direct beneficial owner of the securities covered by this statement, held voting and dispositive power over 7,245,104 shares of common stock of the Issuer ("Shares") and options to acquire 110,400 Shares (such shares and options collectively, the "Securities"), representing a combined total of 8.6 percent of the Issuer's outstanding Class A Shares. All calculations of beneficial ownership percentages in this statement are based on 85,880,982 Shares outstanding as of March 4, 2026, as disclosed by the Issuer in its Form 10-K filed with the SEC on March 9, 2026. Relevant transactions leading up to this date, as well as the respective price per share of each transaction, are set forth on Schedule A to this statement. Each of these transactions was executed through the open market. The funds for the purchase of the Securities came from the working capital of the Fund. The aggregate purchase price of the Securities reported herein was approximately $31,342,416. No borrowed funds were used to purchase the Securities, other than under margin accounts with a brokerage firm in the ordinary course of business. Positions in Issuer securities may be held in margin accounts and may be pledged as collateral security for the repayment of debit balances in such accounts. Such margin accounts may from time to time have debit balances. In addition, since other securities may be held in such margin accounts, it may not be possible to determine the amounts, if any, of margin used to purchase the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ectPr>
          <w:pgSz w:w="11900" w:h="16929" w:orient="portrait"/>
          <w:cols w:equalWidth="0" w:num="2">
            <w:col w:w="620" w:space="320"/>
            <w:col w:w="10220"/>
          </w:cols>
          <w:pgMar w:left="360" w:top="112" w:right="379" w:bottom="0" w:gutter="0" w:footer="0" w:header="0"/>
          <w:type w:val="continuous"/>
        </w:sectPr>
      </w:pPr>
    </w:p>
    <w:p>
      <w:pPr>
        <w:ind w:left="940" w:right="40"/>
        <w:spacing w:after="0" w:line="245" w:lineRule="auto"/>
        <w:rPr>
          <w:sz w:val="20"/>
          <w:szCs w:val="20"/>
          <w:color w:val="auto"/>
        </w:rPr>
      </w:pPr>
      <w:r>
        <w:rPr>
          <w:rFonts w:ascii="Times New Roman" w:cs="Times New Roman" w:eastAsia="Times New Roman" w:hAnsi="Times New Roman"/>
          <w:sz w:val="21"/>
          <w:szCs w:val="21"/>
          <w:color w:val="auto"/>
        </w:rPr>
        <w:t>Veradace originally acquired beneficial ownership of the Shares of the Issuer for investment purposes and filed a Schedule 13G on November 5, 2025 based on a passive investment intent. Veradace evaluates on an ongoing basis its investment in the Issuer and its options with respect to such investment, and now believe that additional changes may be necessary for the Issuer to maximize shareholder value. On April 8, 2026, Veradace shared its concerns with the Issuer regarding the Issuer's performance over the last several years, the shareholder opposition to the KUBRA Data Transfer LTD acquisition, and the absence of any meaningful shareholder perspective on its board of directors (the "Board"). Veradace indicated its desire for two new shareholdersupported directors to be added to the Board. Veradace intends to continue to engage in dialogue with the Issuer regarding potential Board candidates and the opportunity for the Board to benefit from fresh perspectives with respect to investor credibility, capital allocation, and overall value maximization. As noted above, Veradace intends to evaluate on an ongoing basis its investment in the Issuer and its options with respect to such investment. In connection with such evaluation, the Reporting Persons may</w:t>
      </w:r>
    </w:p>
    <w:p>
      <w:pPr>
        <w:sectPr>
          <w:pgSz w:w="11900" w:h="16929" w:orient="portrait"/>
          <w:cols w:equalWidth="0" w:num="1">
            <w:col w:w="11160"/>
          </w:cols>
          <w:pgMar w:left="360" w:top="112" w:right="379" w:bottom="0" w:gutter="0" w:footer="0" w:header="0"/>
          <w:type w:val="continuous"/>
        </w:sectPr>
      </w:pPr>
    </w:p>
    <w:bookmarkStart w:id="5" w:name="page6"/>
    <w:bookmarkEnd w:id="5"/>
    <w:p>
      <w:pPr>
        <w:ind w:left="940" w:right="20"/>
        <w:spacing w:after="0" w:line="232" w:lineRule="auto"/>
        <w:rPr>
          <w:sz w:val="20"/>
          <w:szCs w:val="20"/>
          <w:color w:val="auto"/>
        </w:rPr>
      </w:pPr>
      <w:r>
        <w:rPr>
          <w:rFonts w:ascii="Times New Roman" w:cs="Times New Roman" w:eastAsia="Times New Roman" w:hAnsi="Times New Roman"/>
          <w:sz w:val="22"/>
          <w:szCs w:val="22"/>
          <w:color w:val="auto"/>
        </w:rPr>
        <w:t>communicate publicly or privately with members of the Board and/or senior management of the Issuer, other stockholders, knowledgeable industry or market observers, or other third parties with respect to this investment. As part of such evaluation and any such communications, the Reporting Persons may make recommendations, suggestions, or proposals to and may engage in discussions with the Issuer or other third parties (including other stockholders) that may relate to or result in one or more of the matters specified in clauses (a) through U) of Item 4 of Schedule 13D, including, but not limited to, changes in the composition of the Board, changes in the strategic direction and future plans of the Issuer and other opportunities involving the Issuer as a means of enhancing shareholder value. Except as set forth herein, none of the Reporting Persons has any plans or proposals that relate to or would result in any of the transactions described in subparagraphs (a) through U) of Item 4 of Schedule 13D. Depending on various factors, including the Issuer's financial position, prospects and strategic direction, the outcome of the matters referenced above, other developments concerning the Issuer, actions taken by the Board, price levels of the Shares, other investment opportunities available to the Reporting Persons, conditions in the securities markets and general economic and industry conditions, the Reporting Persons may in the future take such actions with respect to their investment in the Issuer as it deems appropriate, including, without limitation, (i) acquiring additional securities of the Issuer in the open market or in privately negotiated transactions, (ii) disposing of all or a portion of its securities, and (iii) enter into hedging, derivative or other arrangements with respect to its economic exposure to the Issuer's securities. The Reporting Persons reserve the right to change their views with respect to the Issuer and to take any action with respect to their investment permitted by law.</w:t>
      </w:r>
    </w:p>
    <w:p>
      <w:pPr>
        <w:spacing w:after="0" w:line="2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8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aggregate number and percentage of the class of securities identified pursuant to Item 1 beneficially owned by each Reporting Person as of the time of filing, is stated in Items 11 and 13 on the cover page(s) hereto.</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Reporting Persons may be deemed to share voting and dispositive power over 7,245,104Shares and options to</w:t>
      </w:r>
    </w:p>
    <w:p>
      <w:pPr>
        <w:spacing w:after="0" w:line="14" w:lineRule="exact"/>
        <w:rPr>
          <w:rFonts w:ascii="Times New Roman" w:cs="Times New Roman" w:eastAsia="Times New Roman" w:hAnsi="Times New Roman"/>
          <w:sz w:val="39"/>
          <w:szCs w:val="39"/>
          <w:color w:val="auto"/>
          <w:vertAlign w:val="subscript"/>
        </w:rPr>
      </w:pPr>
    </w:p>
    <w:p>
      <w:pPr>
        <w:ind w:left="940" w:right="44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an additional 110,400 Shares, representing beneficial ownership of a combined total of 8.4 percent of the outstanding Shares.</w:t>
      </w:r>
    </w:p>
    <w:p>
      <w:pPr>
        <w:spacing w:after="0" w:line="16" w:lineRule="exact"/>
        <w:rPr>
          <w:rFonts w:ascii="Times New Roman" w:cs="Times New Roman" w:eastAsia="Times New Roman" w:hAnsi="Times New Roman"/>
          <w:sz w:val="22"/>
          <w:szCs w:val="22"/>
          <w:color w:val="auto"/>
        </w:rPr>
      </w:pPr>
    </w:p>
    <w:p>
      <w:pPr>
        <w:ind w:left="940" w:right="16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effected by the Reporting Persons in the Shares during the past 60 days are set forth on Schedule A to this statement. Each of these transactions was executed through the open market.</w:t>
      </w:r>
    </w:p>
    <w:p>
      <w:pPr>
        <w:spacing w:after="0" w:line="17" w:lineRule="exact"/>
        <w:rPr>
          <w:rFonts w:ascii="Times New Roman" w:cs="Times New Roman" w:eastAsia="Times New Roman" w:hAnsi="Times New Roman"/>
          <w:sz w:val="39"/>
          <w:szCs w:val="39"/>
          <w:color w:val="auto"/>
          <w:vertAlign w:val="subscript"/>
        </w:rPr>
      </w:pPr>
    </w:p>
    <w:p>
      <w:pPr>
        <w:ind w:left="940" w:right="6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proceeds from the sale of, the Securities.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40"/>
        <w:spacing w:after="0" w:line="236" w:lineRule="auto"/>
        <w:rPr>
          <w:sz w:val="20"/>
          <w:szCs w:val="20"/>
          <w:color w:val="auto"/>
        </w:rPr>
      </w:pPr>
      <w:r>
        <w:rPr>
          <w:rFonts w:ascii="Times New Roman" w:cs="Times New Roman" w:eastAsia="Times New Roman" w:hAnsi="Times New Roman"/>
          <w:sz w:val="22"/>
          <w:szCs w:val="22"/>
          <w:color w:val="auto"/>
        </w:rPr>
        <w:t>The information set forth in Item 4 above is incorporated by reference in its entirety in this Item 6. The Fund, through open market transactions between September 25, 2025 and November 4, 2025, purchased options to acquire 110,400 Shares and sold put options covering the same number of Shares. All of the Options are American-style and expire on June 30, 2026. The exercise prices for the Options are as set forth below: Option Exercise Price 110,400 Shares (Call) $7.50 per Share The Reporting Persons do not have any contract, arrangement, understanding or relationship with any person with respect to securities of the Issuer that is not described herein.</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Attached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Veradace Capital Management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Vezendan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Principal</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Veradace Partners LP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Vezendan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Principal</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Alexander Vezendan</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Alexander Vezendan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Principal</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John Conlin</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Conlin</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Principal / Chief Compliance Officer</w:t>
      </w:r>
    </w:p>
    <w:p>
      <w:pPr>
        <w:sectPr>
          <w:pgSz w:w="11900" w:h="16838" w:orient="portrait"/>
          <w:cols w:equalWidth="0" w:num="1">
            <w:col w:w="11140"/>
          </w:cols>
          <w:pgMar w:left="360" w:top="111" w:right="399" w:bottom="0" w:gutter="0" w:footer="0" w:header="0"/>
        </w:sectPr>
      </w:pPr>
    </w:p>
    <w:bookmarkStart w:id="6" w:name="page7"/>
    <w:bookmarkEnd w:id="6"/>
    <w:p>
      <w:pPr>
        <w:ind w:left="3400"/>
        <w:spacing w:after="0"/>
        <w:tabs>
          <w:tab w:leader="none" w:pos="44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04/15/2026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2026-04-15T17:29:08Z</dcterms:created>
  <dcterms:modified xsi:type="dcterms:W3CDTF">2026-04-15T17:29:08Z</dcterms:modified>
</cp:coreProperties>
</file>