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rpay-20260601.htm"/>
      <w:bookmarkStart w:id="1" w:name="ksrpay20260601"/>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8-K/A</w:t>
      </w:r>
    </w:p>
    <w:p>
      <w:pPr>
        <w:pStyle w:val="Heading2"/>
        <w:bidi w:val="0"/>
        <w:spacing w:before="120" w:after="120"/>
        <w:jc w:val="center"/>
        <w:rPr>
          <w:rFonts w:ascii="Times New Roman" w:hAnsi="Times New Roman"/>
          <w:color w:val="000000"/>
          <w:sz w:val="24"/>
        </w:rPr>
      </w:pPr>
      <w:r>
        <w:rPr>
          <w:rFonts w:ascii="Times New Roman" w:hAnsi="Times New Roman"/>
          <w:color w:val="000000"/>
          <w:sz w:val="24"/>
        </w:rPr>
        <w:t>(Amendment No. 1)</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01,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REPAY HOLDINGS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001-38531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98-1496050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3060 Peachtree Road NW</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Atlanta, Georgia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30305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404</w:t>
            </w:r>
            <w:r>
              <w:rPr>
                <w:rFonts w:ascii="Times New Roman" w:hAnsi="Times New Roman"/>
                <w:color w:val="000000"/>
                <w:sz w:val="20"/>
              </w:rPr>
              <w:t xml:space="preserve"> </w:t>
            </w:r>
            <w:r>
              <w:rPr>
                <w:rFonts w:ascii="Times New Roman" w:hAnsi="Times New Roman"/>
                <w:b/>
                <w:color w:val="000000"/>
                <w:sz w:val="20"/>
              </w:rPr>
              <w:t>504-7472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RPAY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72" w:after="72"/>
        <w:jc w:val="both"/>
        <w:rPr>
          <w:rFonts w:ascii="Times New Roman" w:hAnsi="Times New Roman"/>
          <w:color w:val="000000"/>
          <w:sz w:val="20"/>
        </w:rPr>
      </w:pPr>
      <w:r>
        <w:rPr>
          <w:rFonts w:ascii="Times New Roman" w:hAnsi="Times New Roman"/>
          <w:color w:val="000000"/>
          <w:sz w:val="20"/>
        </w:rPr>
        <w:t>On June 1, 2026, Repay Holdings Corporation (the "Company" or "REPAY") filed a Current Report on Form 8-K (the "Original Form 8-K") with the U.S. Securities and Exchange Commission, reporting that, on June 1, 2026, the Company completed the previously announced acquisition of KUBRA Holdings, Inc., a Delaware corporation ("Kubra US"), and KUBRA Data Transfer Ltd., an Ontario corporation ("Kubra Canada" and together with Kubra US, "KUBRA"), pursuant to the Stock Purchase Agreement, dated as March 30, 2026, by and among the Company, Hearst KUBRA Holdings, Inc., a Delaware corporation, Kubra US and Kubra Canada.</w:t>
        <w:br/>
        <w:br/>
        <w:t>This Current Report on Form 8-K/A amends Items 9.01 of the Original Form 8-K to include the financial statements and unaudited pro forma financial information required by Items 9.01(a) and (b) of Form 8-K, respectively, which were not included in the Original Form 8-K as permitted by Item 9.01(a)(3) and (b)(2) of Form 8-K. Except as provided herein, the disclosures made in the Original Form 8-K remain unchanged.</w:t>
      </w:r>
    </w:p>
    <w:p>
      <w:pPr>
        <w:pStyle w:val="Heading2"/>
        <w:bidi w:val="0"/>
        <w:spacing w:before="288"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(a) Financial Statements of Businesses or Funds Acquired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audited KUBRA combined and consolidated financial statements as of and for the years ended December 31, 2025 and 2024, and the accompanying notes to the audited financial statements, are attached hereto as Exhibit 99.1 and incorporated herein by reference.</w:t>
      </w:r>
    </w:p>
    <w:p>
      <w:pPr>
        <w:pStyle w:val="TextBody"/>
        <w:bidi w:val="0"/>
        <w:jc w:val="both"/>
        <w:rPr>
          <w:rFonts w:ascii="Times New Roman" w:hAnsi="Times New Roman"/>
          <w:color w:val="000000"/>
          <w:sz w:val="20"/>
        </w:rPr>
      </w:pPr>
      <w:r>
        <w:rPr>
          <w:rFonts w:ascii="Times New Roman" w:hAnsi="Times New Roman"/>
          <w:color w:val="000000"/>
          <w:sz w:val="20"/>
        </w:rPr>
        <w:t>The unaudited KUBRA condensed combined and consolidated financial statements as of and for the three months ended March 31, 2026 and 2025, and the accompanying notes to the consolidated financial statements, are attached hereto as Exhibit 99.2 and incorporated herein by reference.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Pro Forma Financial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information is attached hereto as Exhibit 99.3 and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(i) Unaudited Pro Forma Condensed Combined Financial Information as of and for the three months ended March 31, 2026 and for the year ended December 31, 2025.</w:t>
      </w:r>
    </w:p>
    <w:p>
      <w:pPr>
        <w:pStyle w:val="TextBody"/>
        <w:bidi w:val="0"/>
        <w:jc w:val="left"/>
        <w:rPr>
          <w:rFonts w:ascii="Times New Roman" w:hAnsi="Times New Roman"/>
          <w:color w:val="000000"/>
          <w:sz w:val="20"/>
        </w:rPr>
      </w:pPr>
      <w:r>
        <w:rPr>
          <w:rFonts w:ascii="Times New Roman" w:hAnsi="Times New Roman"/>
          <w:color w:val="000000"/>
          <w:sz w:val="20"/>
        </w:rPr>
        <w:t>(ii) Notes to the Unaudited Pro Forma Condensed Combined Financial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tbl>
      <w:tblPr>
        <w:tblW w:w="8247" w:type="dxa"/>
        <w:jc w:val="left"/>
        <w:tblInd w:w="0" w:type="dxa"/>
        <w:tblLayout w:type="fixed"/>
        <w:tblCellMar>
          <w:top w:w="28" w:type="dxa"/>
          <w:left w:w="28" w:type="dxa"/>
          <w:bottom w:w="28" w:type="dxa"/>
          <w:right w:w="28" w:type="dxa"/>
        </w:tblCellMar>
      </w:tblPr>
      <w:tblGrid>
        <w:gridCol w:w="361"/>
        <w:gridCol w:w="473"/>
        <w:gridCol w:w="246"/>
        <w:gridCol w:w="146"/>
        <w:gridCol w:w="7021"/>
      </w:tblGrid>
      <w:tr>
        <w:trPr/>
        <w:tc>
          <w:tcPr>
            <w:tcW w:w="36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2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ay-ex23_1.htm">
              <w:r>
                <w:rPr>
                  <w:rStyle w:val="InternetLink"/>
                  <w:rFonts w:ascii="Times New Roman" w:hAnsi="Times New Roman"/>
                  <w:color w:val="0000FF"/>
                  <w:sz w:val="20"/>
                  <w:u w:val="single"/>
                </w:rPr>
                <w:t>Consent of Deloitte &amp; Touche LLP, independent auditors</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ay-ex99_1.htm">
              <w:r>
                <w:rPr>
                  <w:rStyle w:val="InternetLink"/>
                  <w:rFonts w:ascii="Times New Roman" w:hAnsi="Times New Roman"/>
                  <w:color w:val="0000FF"/>
                  <w:sz w:val="20"/>
                  <w:u w:val="single"/>
                </w:rPr>
                <w:t>Audited Combined and Consolidated Financial Statements of KUBRA</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ay-ex99_2.htm">
              <w:r>
                <w:rPr>
                  <w:rStyle w:val="InternetLink"/>
                  <w:rFonts w:ascii="Times New Roman" w:hAnsi="Times New Roman"/>
                  <w:color w:val="0000FF"/>
                  <w:sz w:val="20"/>
                  <w:u w:val="single"/>
                </w:rPr>
                <w:t>Unaudited Condensed Combined and Consolidated Financial Statements of KUBRA</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ay-ex99_3.htm">
              <w:r>
                <w:rPr>
                  <w:rStyle w:val="InternetLink"/>
                  <w:rFonts w:ascii="Times New Roman" w:hAnsi="Times New Roman"/>
                  <w:color w:val="0000FF"/>
                  <w:sz w:val="20"/>
                  <w:u w:val="single"/>
                </w:rPr>
                <w:t>Pro Forma Financial Information</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47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7413" w:type="dxa"/>
            <w:gridSpan w:val="3"/>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59" w:type="dxa"/>
        <w:jc w:val="left"/>
        <w:tblInd w:w="0" w:type="dxa"/>
        <w:tblLayout w:type="fixed"/>
        <w:tblCellMar>
          <w:top w:w="28" w:type="dxa"/>
          <w:left w:w="28" w:type="dxa"/>
          <w:bottom w:w="28" w:type="dxa"/>
          <w:right w:w="28" w:type="dxa"/>
        </w:tblCellMar>
      </w:tblPr>
      <w:tblGrid>
        <w:gridCol w:w="556"/>
        <w:gridCol w:w="1456"/>
        <w:gridCol w:w="451"/>
        <w:gridCol w:w="349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Repay Holdings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4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Tyler B. Dempsey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Tyler B. Dempsey</w:t>
              <w:br/>
              <w:t>General Counsel and 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rpay-ex23_1.htm"/>
      <w:bookmarkStart w:id="3" w:name="ksrpayex23_1"/>
      <w:bookmarkEnd w:id="2"/>
      <w:bookmarkEnd w:id="3"/>
      <w:r>
        <w:rPr/>
        <w:t> </w:t>
      </w:r>
      <w:r>
        <w:br w:type="page"/>
      </w:r>
    </w:p>
    <w:p>
      <w:pPr>
        <w:pStyle w:val="TextBody"/>
        <w:bidi w:val="0"/>
        <w:spacing w:before="240" w:after="720"/>
        <w:jc w:val="right"/>
        <w:rPr>
          <w:rFonts w:ascii="Times New Roman" w:hAnsi="Times New Roman"/>
          <w:b/>
          <w:color w:val="000000"/>
          <w:sz w:val="22"/>
        </w:rPr>
      </w:pPr>
      <w:r>
        <w:rPr>
          <w:rFonts w:ascii="Times New Roman" w:hAnsi="Times New Roman"/>
          <w:b/>
          <w:color w:val="000000"/>
          <w:sz w:val="22"/>
        </w:rPr>
        <w:t>Exhibit 23.1</w:t>
      </w:r>
    </w:p>
    <w:p>
      <w:pPr>
        <w:pStyle w:val="TextBody"/>
        <w:bidi w:val="0"/>
        <w:spacing w:before="0" w:after="600"/>
        <w:jc w:val="center"/>
        <w:rPr>
          <w:rFonts w:ascii="Times New Roman" w:hAnsi="Times New Roman"/>
          <w:b/>
          <w:color w:val="000000"/>
          <w:sz w:val="20"/>
        </w:rPr>
      </w:pPr>
      <w:r>
        <w:rPr>
          <w:rFonts w:ascii="Times New Roman" w:hAnsi="Times New Roman"/>
          <w:b/>
          <w:color w:val="000000"/>
          <w:sz w:val="20"/>
        </w:rPr>
        <w:t>CONSENT OF INDEPENDENT AUDITORS</w:t>
      </w:r>
    </w:p>
    <w:p>
      <w:pPr>
        <w:pStyle w:val="TextBody"/>
        <w:bidi w:val="0"/>
        <w:jc w:val="both"/>
        <w:rPr>
          <w:rFonts w:ascii="Times New Roman" w:hAnsi="Times New Roman"/>
          <w:color w:val="000000"/>
          <w:sz w:val="20"/>
        </w:rPr>
      </w:pPr>
      <w:r>
        <w:rPr>
          <w:rFonts w:ascii="Times New Roman" w:hAnsi="Times New Roman"/>
          <w:color w:val="000000"/>
          <w:sz w:val="20"/>
        </w:rPr>
        <w:t>We consent to the incorporation by reference in Registration Statement Nos. 333-232961, 333-248483 and 333-257660 on Form S-3, and Registration Statement Nos. 333-233879, 333-258902, 333-265480, 333-279824, 333-290561, 333-296828, 333-296830, and 333-296831 on Form S-8 of Repay Holdings Corporation of our report dated July 15, 2026, relating to the financial statements of KUBRA Holdings, Inc. and subsidiaries and KUBRA Data Transfer Ltd. appearing in this Current Report on Form 8-K/A of Repay Holdings Corporation dated August 17, 2026.</w:t>
      </w:r>
    </w:p>
    <w:p>
      <w:pPr>
        <w:pStyle w:val="TextBody"/>
        <w:bidi w:val="0"/>
        <w:spacing w:before="360" w:after="36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New York, 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August 17, 2026</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rpay-ex99_1.htm"/>
      <w:bookmarkStart w:id="5" w:name="ksrpayex99_1"/>
      <w:bookmarkEnd w:id="4"/>
      <w:bookmarkEnd w:id="5"/>
      <w:r>
        <w:rPr>
          <w:rFonts w:ascii="Times New Roman" w:hAnsi="Times New Roman"/>
          <w:b/>
          <w:color w:val="000000"/>
          <w:sz w:val="20"/>
        </w:rPr>
        <w:t>Exhibit 99.1</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4" w:after="283"/>
        <w:jc w:val="left"/>
        <w:rPr/>
      </w:pPr>
      <w:r>
        <w:rPr/>
        <w:t> </w:t>
      </w:r>
    </w:p>
    <w:p>
      <w:pPr>
        <w:pStyle w:val="TextBody"/>
        <w:bidi w:val="0"/>
        <w:spacing w:before="1" w:after="283"/>
        <w:jc w:val="left"/>
        <w:rPr>
          <w:rFonts w:ascii="Times New Roman" w:hAnsi="Times New Roman"/>
          <w:sz w:val="20"/>
        </w:rPr>
      </w:pPr>
      <w:r>
        <w:rPr>
          <w:rFonts w:ascii="sans-serif" w:hAnsi="sans-serif"/>
          <w:color w:val="000000"/>
          <w:sz w:val="52"/>
        </w:rPr>
        <w:t>KUBRA Holdings, Inc. and subsidiaries,</w:t>
      </w:r>
      <w:r>
        <w:rPr>
          <w:rFonts w:ascii="Times New Roman" w:hAnsi="Times New Roman"/>
          <w:color w:val="000000"/>
          <w:sz w:val="20"/>
        </w:rPr>
        <w:t xml:space="preserve"> </w:t>
      </w:r>
    </w:p>
    <w:p>
      <w:pPr>
        <w:pStyle w:val="TextBody"/>
        <w:bidi w:val="0"/>
        <w:spacing w:before="1" w:after="283"/>
        <w:jc w:val="left"/>
        <w:rPr>
          <w:rFonts w:ascii="sans-serif" w:hAnsi="sans-serif"/>
          <w:color w:val="000000"/>
          <w:sz w:val="52"/>
        </w:rPr>
      </w:pPr>
      <w:r>
        <w:rPr>
          <w:rFonts w:ascii="sans-serif" w:hAnsi="sans-serif"/>
          <w:color w:val="000000"/>
          <w:sz w:val="52"/>
        </w:rPr>
        <w:t>and KUBRA Data Transfer Ltd.</w:t>
      </w:r>
    </w:p>
    <w:p>
      <w:pPr>
        <w:pStyle w:val="Heading1"/>
        <w:bidi w:val="0"/>
        <w:spacing w:before="209" w:after="283"/>
        <w:jc w:val="left"/>
        <w:rPr>
          <w:rFonts w:ascii="sans-serif" w:hAnsi="sans-serif"/>
          <w:b w:val="false"/>
          <w:color w:val="000000"/>
          <w:sz w:val="28"/>
        </w:rPr>
      </w:pPr>
      <w:r>
        <w:rPr>
          <w:rFonts w:ascii="sans-serif" w:hAnsi="sans-serif"/>
          <w:b w:val="false"/>
          <w:color w:val="000000"/>
          <w:sz w:val="28"/>
        </w:rPr>
        <w:t>Combined and consolidated Financial Statements as of and for the Years Ended December 31, 2025, and 2024,</w:t>
      </w:r>
    </w:p>
    <w:p>
      <w:pPr>
        <w:pStyle w:val="Heading1"/>
        <w:bidi w:val="0"/>
        <w:spacing w:before="12" w:after="283"/>
        <w:jc w:val="left"/>
        <w:rPr>
          <w:rFonts w:ascii="sans-serif" w:hAnsi="sans-serif"/>
          <w:b w:val="false"/>
          <w:color w:val="000000"/>
          <w:sz w:val="28"/>
        </w:rPr>
      </w:pPr>
      <w:r>
        <w:rPr>
          <w:rFonts w:ascii="sans-serif" w:hAnsi="sans-serif"/>
          <w:b w:val="false"/>
          <w:color w:val="000000"/>
          <w:sz w:val="28"/>
        </w:rPr>
        <w:t>and Independent Auditor’s Report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 w:after="283"/>
        <w:jc w:val="left"/>
        <w:rPr>
          <w:rFonts w:ascii="sans-serif" w:hAnsi="sans-serif"/>
          <w:b/>
          <w:color w:val="000000"/>
          <w:sz w:val="30"/>
        </w:rPr>
      </w:pPr>
      <w:r>
        <w:rPr>
          <w:rFonts w:ascii="sans-serif" w:hAnsi="sans-serif"/>
          <w:b/>
          <w:color w:val="000000"/>
          <w:sz w:val="30"/>
        </w:rPr>
        <w:t>KUBRA HOLDINGS, INC. AND SUBSIDIARIES, AND KUBRA DATA TRANSFER LTD.</w:t>
      </w:r>
    </w:p>
    <w:p>
      <w:pPr>
        <w:pStyle w:val="TextBody"/>
        <w:bidi w:val="0"/>
        <w:spacing w:before="281" w:after="283"/>
        <w:jc w:val="left"/>
        <w:rPr>
          <w:rFonts w:ascii="sans-serif" w:hAnsi="sans-serif"/>
          <w:b/>
          <w:color w:val="000000"/>
          <w:sz w:val="24"/>
          <w:u w:val="single"/>
        </w:rPr>
      </w:pPr>
      <w:r>
        <w:rPr>
          <w:rFonts w:ascii="sans-serif" w:hAnsi="sans-serif"/>
          <w:b/>
          <w:color w:val="000000"/>
          <w:sz w:val="24"/>
          <w:u w:val="single"/>
        </w:rPr>
        <w:t xml:space="preserve">TABLE OF CONTENTS </w:t>
      </w:r>
    </w:p>
    <w:p>
      <w:pPr>
        <w:pStyle w:val="TextBody"/>
        <w:bidi w:val="0"/>
        <w:spacing w:before="218" w:after="283"/>
        <w:jc w:val="left"/>
        <w:rPr/>
      </w:pPr>
      <w:r>
        <w:rPr/>
        <w:t> </w:t>
      </w:r>
    </w:p>
    <w:tbl>
      <w:tblPr>
        <w:tblW w:w="10205" w:type="dxa"/>
        <w:jc w:val="left"/>
        <w:tblInd w:w="0" w:type="dxa"/>
        <w:tblLayout w:type="fixed"/>
        <w:tblCellMar>
          <w:top w:w="28" w:type="dxa"/>
          <w:left w:w="28" w:type="dxa"/>
          <w:bottom w:w="28" w:type="dxa"/>
          <w:right w:w="28" w:type="dxa"/>
        </w:tblCellMar>
      </w:tblPr>
      <w:tblGrid>
        <w:gridCol w:w="9278"/>
        <w:gridCol w:w="146"/>
        <w:gridCol w:w="781"/>
      </w:tblGrid>
      <w:tr>
        <w:trPr/>
        <w:tc>
          <w:tcPr>
            <w:tcW w:w="9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9278"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center"/>
              <w:rPr/>
            </w:pPr>
            <w:r>
              <w:rPr/>
              <w:t> </w:t>
            </w:r>
          </w:p>
        </w:tc>
        <w:tc>
          <w:tcPr>
            <w:tcW w:w="781" w:type="dxa"/>
            <w:tcBorders/>
            <w:tcMar>
              <w:top w:w="0" w:type="dxa"/>
              <w:left w:w="0" w:type="dxa"/>
              <w:bottom w:w="0" w:type="dxa"/>
              <w:right w:w="0" w:type="dxa"/>
            </w:tcMar>
            <w:vAlign w:val="center"/>
          </w:tcPr>
          <w:p>
            <w:pPr>
              <w:pStyle w:val="TableContents"/>
              <w:bidi w:val="0"/>
              <w:spacing w:before="0" w:after="200"/>
              <w:jc w:val="left"/>
              <w:rPr>
                <w:rFonts w:ascii="sans-serif" w:hAnsi="sans-serif"/>
                <w:b/>
                <w:color w:val="000000"/>
                <w:sz w:val="22"/>
              </w:rPr>
            </w:pPr>
            <w:r>
              <w:rPr>
                <w:rFonts w:ascii="sans-serif" w:hAnsi="sans-serif"/>
                <w:b/>
                <w:color w:val="000000"/>
                <w:sz w:val="22"/>
              </w:rPr>
              <w:t>Page</w:t>
            </w:r>
          </w:p>
        </w:tc>
      </w:tr>
      <w:tr>
        <w:trPr/>
        <w:tc>
          <w:tcPr>
            <w:tcW w:w="9278"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2"/>
              </w:rPr>
            </w:pPr>
            <w:r>
              <w:rPr>
                <w:rFonts w:ascii="sans-serif" w:hAnsi="sans-serif"/>
                <w:color w:val="000000"/>
                <w:sz w:val="22"/>
              </w:rPr>
              <w:t>INDEPENDENT AUDITOR’S REPORT</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2"/>
              </w:rPr>
            </w:pPr>
            <w:r>
              <w:rPr>
                <w:rFonts w:ascii="sans-serif" w:hAnsi="sans-serif"/>
                <w:color w:val="000000"/>
                <w:sz w:val="22"/>
              </w:rPr>
              <w:t>1-2</w:t>
            </w:r>
          </w:p>
        </w:tc>
      </w:tr>
      <w:tr>
        <w:trPr/>
        <w:tc>
          <w:tcPr>
            <w:tcW w:w="9278"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2"/>
              </w:rPr>
            </w:pPr>
            <w:r>
              <w:rPr>
                <w:rFonts w:ascii="sans-serif" w:hAnsi="sans-serif"/>
                <w:color w:val="000000"/>
                <w:sz w:val="22"/>
              </w:rPr>
              <w:t>COMBINED AND CONSOLIDATED FINANCIAL STATEMENTS AS OF AND FOR THE YEARS ENDED DECEMBER 31, 2025 AND 2024:</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3</w:t>
            </w:r>
          </w:p>
        </w:tc>
      </w:tr>
      <w:tr>
        <w:trPr/>
        <w:tc>
          <w:tcPr>
            <w:tcW w:w="9278"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Combined and consolidated Balance Sheets</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ind w:left="0" w:right="0" w:firstLine="288"/>
              <w:jc w:val="left"/>
              <w:rPr/>
            </w:pPr>
            <w:r>
              <w:rPr/>
              <w:t> </w:t>
            </w:r>
          </w:p>
        </w:tc>
      </w:tr>
      <w:tr>
        <w:trPr/>
        <w:tc>
          <w:tcPr>
            <w:tcW w:w="9278"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Combined and consolidated Statements of Operations</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4</w:t>
            </w:r>
          </w:p>
        </w:tc>
      </w:tr>
      <w:tr>
        <w:trPr/>
        <w:tc>
          <w:tcPr>
            <w:tcW w:w="9278"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Combined and consolidated Statements of Comprehensive Income</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5</w:t>
            </w:r>
          </w:p>
        </w:tc>
      </w:tr>
      <w:tr>
        <w:trPr/>
        <w:tc>
          <w:tcPr>
            <w:tcW w:w="9278"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Combined and consolidated Statements of Stockholders’ Equity</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6</w:t>
            </w:r>
          </w:p>
        </w:tc>
      </w:tr>
      <w:tr>
        <w:trPr/>
        <w:tc>
          <w:tcPr>
            <w:tcW w:w="9278"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Combined and consolidated Statements of Cash Flows</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7</w:t>
            </w:r>
          </w:p>
        </w:tc>
      </w:tr>
      <w:tr>
        <w:trPr/>
        <w:tc>
          <w:tcPr>
            <w:tcW w:w="9278"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Notes to Combined and consolidated Financial Statements</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2"/>
              </w:rPr>
            </w:pPr>
            <w:r>
              <w:rPr>
                <w:rFonts w:ascii="sans-serif" w:hAnsi="sans-serif"/>
                <w:color w:val="000000"/>
                <w:sz w:val="22"/>
              </w:rPr>
              <w:t>8-18</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61" w:after="283"/>
        <w:jc w:val="left"/>
        <w:rPr>
          <w:rFonts w:ascii="sans-serif" w:hAnsi="sans-serif"/>
          <w:b/>
          <w:color w:val="000000"/>
          <w:sz w:val="22"/>
        </w:rPr>
      </w:pPr>
      <w:r>
        <w:rPr>
          <w:rFonts w:ascii="sans-serif" w:hAnsi="sans-serif"/>
          <w:b/>
          <w:color w:val="000000"/>
          <w:sz w:val="22"/>
        </w:rPr>
        <w:t>INDEPENDENT AUDITOR'S REPORT</w:t>
      </w:r>
    </w:p>
    <w:p>
      <w:pPr>
        <w:pStyle w:val="TextBody"/>
        <w:bidi w:val="0"/>
        <w:spacing w:before="61" w:after="283"/>
        <w:jc w:val="both"/>
        <w:rPr>
          <w:rFonts w:ascii="sans-serif" w:hAnsi="sans-serif"/>
          <w:color w:val="000000"/>
          <w:sz w:val="22"/>
        </w:rPr>
      </w:pPr>
      <w:r>
        <w:rPr>
          <w:rFonts w:ascii="sans-serif" w:hAnsi="sans-serif"/>
          <w:color w:val="000000"/>
          <w:sz w:val="22"/>
        </w:rPr>
        <w:t>To The Hearst Corporation Opinion</w:t>
      </w:r>
    </w:p>
    <w:p>
      <w:pPr>
        <w:pStyle w:val="TextBody"/>
        <w:bidi w:val="0"/>
        <w:spacing w:before="2" w:after="283"/>
        <w:jc w:val="both"/>
        <w:rPr>
          <w:rFonts w:ascii="sans-serif" w:hAnsi="sans-serif"/>
          <w:color w:val="000000"/>
          <w:sz w:val="22"/>
        </w:rPr>
      </w:pPr>
      <w:r>
        <w:rPr>
          <w:rFonts w:ascii="sans-serif" w:hAnsi="sans-serif"/>
          <w:color w:val="000000"/>
          <w:sz w:val="22"/>
        </w:rPr>
        <w:t>We have audited the combined financial statements of KUBRA Holdings, Inc. and subsidiaries and KUBRA Data Transfer Ltd. (the “companies”), which comprise the combined balance sheets as of December 31, 2025 and 2024, and the related combined statements of operations, comprehensive income, stockholders' equity, and cash flows for the years then ended, and the related notes to the combined financial statements (collectively referred to as the “financial statements”).</w:t>
      </w:r>
    </w:p>
    <w:p>
      <w:pPr>
        <w:pStyle w:val="TextBody"/>
        <w:bidi w:val="0"/>
        <w:spacing w:before="200" w:after="283"/>
        <w:jc w:val="both"/>
        <w:rPr>
          <w:rFonts w:ascii="sans-serif" w:hAnsi="sans-serif"/>
          <w:color w:val="000000"/>
          <w:sz w:val="22"/>
        </w:rPr>
      </w:pPr>
      <w:r>
        <w:rPr>
          <w:rFonts w:ascii="sans-serif" w:hAnsi="sans-serif"/>
          <w:color w:val="000000"/>
          <w:sz w:val="22"/>
        </w:rPr>
        <w:t>In our opinion, the accompanying financial statements present fairly, in all material respects, the financial position of the companies as of December 31, 2025 and 2024, and the results of their operations and their cash flows for the years then ended in accordance with accounting principles generally accepted in the United States of America.</w:t>
      </w:r>
    </w:p>
    <w:p>
      <w:pPr>
        <w:pStyle w:val="TextBody"/>
        <w:bidi w:val="0"/>
        <w:spacing w:before="200" w:after="283"/>
        <w:jc w:val="both"/>
        <w:rPr>
          <w:rFonts w:ascii="sans-serif" w:hAnsi="sans-serif"/>
          <w:color w:val="000000"/>
          <w:sz w:val="22"/>
        </w:rPr>
      </w:pPr>
      <w:r>
        <w:rPr>
          <w:rFonts w:ascii="sans-serif" w:hAnsi="sans-serif"/>
          <w:color w:val="000000"/>
          <w:sz w:val="22"/>
        </w:rPr>
        <w:t>Basis for Opinion</w:t>
      </w:r>
    </w:p>
    <w:p>
      <w:pPr>
        <w:pStyle w:val="TextBody"/>
        <w:bidi w:val="0"/>
        <w:spacing w:before="200" w:after="283"/>
        <w:jc w:val="both"/>
        <w:rPr>
          <w:rFonts w:ascii="sans-serif" w:hAnsi="sans-serif"/>
          <w:color w:val="000000"/>
          <w:sz w:val="22"/>
        </w:rPr>
      </w:pPr>
      <w:r>
        <w:rPr>
          <w:rFonts w:ascii="sans-serif" w:hAnsi="sans-serif"/>
          <w:color w:val="000000"/>
          <w:sz w:val="22"/>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companies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200" w:after="283"/>
        <w:jc w:val="both"/>
        <w:rPr>
          <w:rFonts w:ascii="sans-serif" w:hAnsi="sans-serif"/>
          <w:color w:val="000000"/>
          <w:sz w:val="22"/>
        </w:rPr>
      </w:pPr>
      <w:r>
        <w:rPr>
          <w:rFonts w:ascii="sans-serif" w:hAnsi="sans-serif"/>
          <w:color w:val="000000"/>
          <w:sz w:val="22"/>
        </w:rPr>
        <w:t>Responsibilities of Management for the Financial Statements</w:t>
      </w:r>
    </w:p>
    <w:p>
      <w:pPr>
        <w:pStyle w:val="TextBody"/>
        <w:bidi w:val="0"/>
        <w:spacing w:before="200" w:after="283"/>
        <w:jc w:val="both"/>
        <w:rPr>
          <w:rFonts w:ascii="sans-serif" w:hAnsi="sans-serif"/>
          <w:color w:val="000000"/>
          <w:sz w:val="22"/>
        </w:rPr>
      </w:pPr>
      <w:r>
        <w:rPr>
          <w:rFonts w:ascii="sans-serif" w:hAnsi="sans-serif"/>
          <w:color w:val="000000"/>
          <w:sz w:val="22"/>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200" w:after="283"/>
        <w:jc w:val="both"/>
        <w:rPr>
          <w:rFonts w:ascii="sans-serif" w:hAnsi="sans-serif"/>
          <w:color w:val="000000"/>
          <w:sz w:val="22"/>
        </w:rPr>
      </w:pPr>
      <w:r>
        <w:rPr>
          <w:rFonts w:ascii="sans-serif" w:hAnsi="sans-serif"/>
          <w:color w:val="000000"/>
          <w:sz w:val="22"/>
        </w:rPr>
        <w:t>In preparing the financial statements, management is required to evaluate whether there are conditions or events, considered in the aggregate, that raise substantial doubt about the companies’ ability to continue as a going concern for one year after the date that the financial statements are available to be issued.</w:t>
      </w:r>
    </w:p>
    <w:p>
      <w:pPr>
        <w:pStyle w:val="TextBody"/>
        <w:bidi w:val="0"/>
        <w:spacing w:before="200" w:after="283"/>
        <w:jc w:val="both"/>
        <w:rPr>
          <w:rFonts w:ascii="sans-serif" w:hAnsi="sans-serif"/>
          <w:color w:val="000000"/>
          <w:sz w:val="22"/>
        </w:rPr>
      </w:pPr>
      <w:r>
        <w:rPr>
          <w:rFonts w:ascii="sans-serif" w:hAnsi="sans-serif"/>
          <w:color w:val="000000"/>
          <w:sz w:val="22"/>
        </w:rPr>
        <w:t>Auditor’s Responsibilities for the Audit of the Financial Statements</w:t>
      </w:r>
    </w:p>
    <w:p>
      <w:pPr>
        <w:pStyle w:val="TextBody"/>
        <w:bidi w:val="0"/>
        <w:spacing w:before="200" w:after="283"/>
        <w:jc w:val="both"/>
        <w:rPr>
          <w:rFonts w:ascii="sans-serif" w:hAnsi="sans-serif"/>
          <w:color w:val="000000"/>
          <w:sz w:val="22"/>
        </w:rPr>
      </w:pPr>
      <w:r>
        <w:rPr>
          <w:rFonts w:ascii="sans-serif" w:hAnsi="sans-serif"/>
          <w:color w:val="000000"/>
          <w:sz w:val="22"/>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w:t>
      </w:r>
    </w:p>
    <w:p>
      <w:pPr>
        <w:pStyle w:val="TextBody"/>
        <w:bidi w:val="0"/>
        <w:spacing w:before="77" w:after="283"/>
        <w:jc w:val="both"/>
        <w:rPr>
          <w:rFonts w:ascii="sans-serif" w:hAnsi="sans-serif"/>
          <w:color w:val="000000"/>
          <w:sz w:val="22"/>
        </w:rPr>
      </w:pPr>
      <w:r>
        <w:rPr>
          <w:rFonts w:ascii="sans-serif" w:hAnsi="sans-serif"/>
          <w:color w:val="000000"/>
          <w:sz w:val="22"/>
        </w:rPr>
        <w:t>Misstatements are considered material if there is a substantial likelihood that, individually or in the aggregate, they would influence the judgment made by a reasonable user based on the financial statements.</w:t>
      </w:r>
    </w:p>
    <w:p>
      <w:pPr>
        <w:pStyle w:val="TextBody"/>
        <w:bidi w:val="0"/>
        <w:spacing w:before="199" w:after="283"/>
        <w:jc w:val="both"/>
        <w:rPr>
          <w:rFonts w:ascii="sans-serif" w:hAnsi="sans-serif"/>
          <w:color w:val="000000"/>
          <w:sz w:val="22"/>
        </w:rPr>
      </w:pPr>
      <w:r>
        <w:rPr>
          <w:rFonts w:ascii="sans-serif" w:hAnsi="sans-serif"/>
          <w:color w:val="000000"/>
          <w:sz w:val="22"/>
        </w:rPr>
        <w:t>In performing an audit in accordance with GAAS, we:</w:t>
      </w:r>
    </w:p>
    <w:p>
      <w:pPr>
        <w:pStyle w:val="TextBody"/>
        <w:bidi w:val="0"/>
        <w:spacing w:before="200" w:after="283"/>
        <w:jc w:val="both"/>
        <w:rPr>
          <w:color w:val="000000"/>
        </w:rPr>
      </w:pPr>
      <w:r>
        <w:rPr>
          <w:color w:val="000000"/>
        </w:rPr>
        <w:t>•</w:t>
      </w:r>
    </w:p>
    <w:p>
      <w:pPr>
        <w:pStyle w:val="TextBody"/>
        <w:bidi w:val="0"/>
        <w:spacing w:before="200" w:after="283"/>
        <w:jc w:val="both"/>
        <w:rPr>
          <w:rFonts w:ascii="sans-serif" w:hAnsi="sans-serif"/>
          <w:color w:val="000000"/>
          <w:sz w:val="22"/>
        </w:rPr>
      </w:pPr>
      <w:r>
        <w:rPr>
          <w:rFonts w:ascii="sans-serif" w:hAnsi="sans-serif"/>
          <w:color w:val="000000"/>
          <w:sz w:val="22"/>
        </w:rPr>
        <w:t>Exercise professional judgment and maintain professional skepticism throughout the audit.</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Identify and assess the risks of material misstatement of the financial statements, whether due to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fraud or error, and design and perform audit procedures responsive to those risks. Such procedures include examining, on a test basis, evidence regarding the amounts and disclosures in the financial statements.</w:t>
      </w:r>
    </w:p>
    <w:p>
      <w:pPr>
        <w:pStyle w:val="TextBody"/>
        <w:bidi w:val="0"/>
        <w:spacing w:before="121" w:after="283"/>
        <w:jc w:val="both"/>
        <w:rPr>
          <w:color w:val="000000"/>
        </w:rPr>
      </w:pPr>
      <w:r>
        <w:rPr>
          <w:color w:val="000000"/>
        </w:rPr>
        <w:t>•</w:t>
      </w:r>
    </w:p>
    <w:p>
      <w:pPr>
        <w:pStyle w:val="TextBody"/>
        <w:bidi w:val="0"/>
        <w:spacing w:before="121" w:after="283"/>
        <w:jc w:val="both"/>
        <w:rPr>
          <w:rFonts w:ascii="sans-serif" w:hAnsi="sans-serif"/>
          <w:color w:val="000000"/>
          <w:sz w:val="22"/>
        </w:rPr>
      </w:pPr>
      <w:r>
        <w:rPr>
          <w:rFonts w:ascii="sans-serif" w:hAnsi="sans-serif"/>
          <w:color w:val="000000"/>
          <w:sz w:val="22"/>
        </w:rPr>
        <w:t>Obtain an understanding of internal control relevant to the audit in order to design audit procedures that are appropriate in the circumstances, but not for the purpose of expressing an opinion on the effectiveness of the companies’ internal control. Accordingly, no such opinion is expressed.</w:t>
      </w:r>
    </w:p>
    <w:p>
      <w:pPr>
        <w:pStyle w:val="TextBody"/>
        <w:bidi w:val="0"/>
        <w:spacing w:before="119" w:after="283"/>
        <w:jc w:val="both"/>
        <w:rPr>
          <w:color w:val="000000"/>
        </w:rPr>
      </w:pPr>
      <w:r>
        <w:rPr>
          <w:color w:val="000000"/>
        </w:rPr>
        <w:t>•</w:t>
      </w:r>
    </w:p>
    <w:p>
      <w:pPr>
        <w:pStyle w:val="TextBody"/>
        <w:bidi w:val="0"/>
        <w:spacing w:before="119" w:after="283"/>
        <w:jc w:val="both"/>
        <w:rPr>
          <w:rFonts w:ascii="sans-serif" w:hAnsi="sans-serif"/>
          <w:color w:val="000000"/>
          <w:sz w:val="22"/>
        </w:rPr>
      </w:pPr>
      <w:r>
        <w:rPr>
          <w:rFonts w:ascii="sans-serif" w:hAnsi="sans-serif"/>
          <w:color w:val="000000"/>
          <w:sz w:val="22"/>
        </w:rPr>
        <w:t>Evaluate the appropriateness of accounting policies used and the reasonableness of significant accounting estimates made by management, as well as evaluate the overall presentation of the financial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Conclude whether, in our judgment, there are conditions or events, considered in the aggregate, that raise substantial doubt about the companies’ ability to continue as a going concern for a reasonable period of time.</w:t>
      </w:r>
    </w:p>
    <w:p>
      <w:pPr>
        <w:pStyle w:val="TextBody"/>
        <w:bidi w:val="0"/>
        <w:spacing w:before="200" w:after="283"/>
        <w:jc w:val="both"/>
        <w:rPr>
          <w:rFonts w:ascii="sans-serif" w:hAnsi="sans-serif"/>
          <w:color w:val="000000"/>
          <w:sz w:val="22"/>
        </w:rPr>
      </w:pPr>
      <w:r>
        <w:rPr>
          <w:rFonts w:ascii="sans-serif" w:hAnsi="sans-serif"/>
          <w:color w:val="000000"/>
          <w:sz w:val="22"/>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144" w:after="283"/>
        <w:jc w:val="left"/>
        <w:rPr/>
      </w:pPr>
      <w:r>
        <w:rPr/>
        <w:t> </w:t>
      </w:r>
    </w:p>
    <w:p>
      <w:pPr>
        <w:pStyle w:val="TextBody"/>
        <w:bidi w:val="0"/>
        <w:spacing w:before="101" w:after="283"/>
        <w:jc w:val="left"/>
        <w:rPr/>
      </w:pPr>
      <w:r>
        <w:rPr/>
        <w:t> </w:t>
      </w:r>
    </w:p>
    <w:p>
      <w:pPr>
        <w:pStyle w:val="TextBody"/>
        <w:bidi w:val="0"/>
        <w:jc w:val="left"/>
        <w:rPr>
          <w:rFonts w:ascii="sans-serif" w:hAnsi="sans-serif"/>
          <w:color w:val="000000"/>
          <w:sz w:val="22"/>
        </w:rPr>
      </w:pPr>
      <w:r>
        <w:rPr>
          <w:rFonts w:ascii="sans-serif" w:hAnsi="sans-serif"/>
          <w:color w:val="000000"/>
          <w:sz w:val="22"/>
        </w:rPr>
        <w:t>/s/ Deloitte &amp; Touche LLP</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New York, NY</w:t>
      </w:r>
    </w:p>
    <w:p>
      <w:pPr>
        <w:pStyle w:val="TextBody"/>
        <w:bidi w:val="0"/>
        <w:jc w:val="left"/>
        <w:rPr>
          <w:rFonts w:ascii="sans-serif" w:hAnsi="sans-serif"/>
          <w:color w:val="000000"/>
          <w:sz w:val="22"/>
        </w:rPr>
      </w:pPr>
      <w:r>
        <w:rPr>
          <w:rFonts w:ascii="sans-serif" w:hAnsi="sans-serif"/>
          <w:color w:val="000000"/>
          <w:sz w:val="22"/>
        </w:rPr>
        <w:t>July 15, 2026</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 w:after="283"/>
        <w:jc w:val="left"/>
        <w:rPr/>
      </w:pPr>
      <w:r>
        <w:rPr/>
        <w:t> </w:t>
      </w:r>
    </w:p>
    <w:tbl>
      <w:tblPr>
        <w:tblW w:w="10205" w:type="dxa"/>
        <w:jc w:val="left"/>
        <w:tblInd w:w="0" w:type="dxa"/>
        <w:tblLayout w:type="fixed"/>
        <w:tblCellMar>
          <w:top w:w="28" w:type="dxa"/>
          <w:left w:w="28" w:type="dxa"/>
          <w:bottom w:w="28" w:type="dxa"/>
          <w:right w:w="28" w:type="dxa"/>
        </w:tblCellMar>
      </w:tblPr>
      <w:tblGrid>
        <w:gridCol w:w="6341"/>
        <w:gridCol w:w="1486"/>
        <w:gridCol w:w="625"/>
        <w:gridCol w:w="1753"/>
      </w:tblGrid>
      <w:tr>
        <w:trPr/>
        <w:tc>
          <w:tcPr>
            <w:tcW w:w="63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b/>
                <w:color w:val="000000"/>
                <w:sz w:val="23"/>
              </w:rPr>
            </w:pPr>
            <w:r>
              <w:rPr>
                <w:rFonts w:ascii="sans-serif" w:hAnsi="sans-serif"/>
                <w:b/>
                <w:color w:val="000000"/>
                <w:sz w:val="23"/>
              </w:rPr>
              <w:t>KUBRA HOLDINGS, INC. AND SUBSIDIARIES, AND KUBRA DATA TRANSFER LTD.</w:t>
            </w:r>
          </w:p>
        </w:tc>
      </w:tr>
      <w:tr>
        <w:trPr/>
        <w:tc>
          <w:tcPr>
            <w:tcW w:w="6341" w:type="dxa"/>
            <w:tcBorders/>
            <w:tcMar>
              <w:top w:w="0" w:type="dxa"/>
              <w:left w:w="0" w:type="dxa"/>
              <w:bottom w:w="0" w:type="dxa"/>
              <w:right w:w="0" w:type="dxa"/>
            </w:tcMar>
            <w:vAlign w:val="center"/>
          </w:tcPr>
          <w:p>
            <w:pPr>
              <w:pStyle w:val="TableContents"/>
              <w:bidi w:val="0"/>
              <w:spacing w:before="3" w:after="283"/>
              <w:ind w:left="0" w:right="0" w:firstLine="73"/>
              <w:jc w:val="left"/>
              <w:rPr>
                <w:rFonts w:ascii="sans-serif" w:hAnsi="sans-serif"/>
                <w:b/>
                <w:color w:val="000000"/>
                <w:sz w:val="23"/>
              </w:rPr>
            </w:pPr>
            <w:r>
              <w:rPr>
                <w:rFonts w:ascii="sans-serif" w:hAnsi="sans-serif"/>
                <w:b/>
                <w:color w:val="000000"/>
                <w:sz w:val="23"/>
              </w:rPr>
              <w:t>COMBINED AND CONSOLIDATED BALANCE SHEETS</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10205" w:type="dxa"/>
            <w:gridSpan w:val="4"/>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color w:val="000000"/>
              </w:rPr>
            </w:pPr>
            <w:r>
              <w:rPr>
                <w:color w:val="000000"/>
              </w:rPr>
              <w:t> </w:t>
            </w:r>
            <w:r>
              <w:rPr>
                <w:rFonts w:ascii="sans-serif" w:hAnsi="sans-serif"/>
                <w:b/>
                <w:color w:val="000000"/>
                <w:sz w:val="23"/>
              </w:rPr>
              <w:t>AS OF DECEMBER 31, 2025 AND 2024</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482"/>
              <w:jc w:val="left"/>
              <w:rPr/>
            </w:pPr>
            <w:r>
              <w:rPr/>
              <w:t> </w:t>
            </w:r>
          </w:p>
        </w:tc>
        <w:tc>
          <w:tcPr>
            <w:tcW w:w="1486" w:type="dxa"/>
            <w:tcBorders/>
            <w:tcMar>
              <w:top w:w="0" w:type="dxa"/>
              <w:left w:w="0" w:type="dxa"/>
              <w:bottom w:w="0" w:type="dxa"/>
              <w:right w:w="0" w:type="dxa"/>
            </w:tcMar>
            <w:vAlign w:val="center"/>
          </w:tcPr>
          <w:p>
            <w:pPr>
              <w:pStyle w:val="TableContents"/>
              <w:bidi w:val="0"/>
              <w:spacing w:before="19" w:after="283"/>
              <w:ind w:left="0" w:right="0" w:firstLine="482"/>
              <w:jc w:val="center"/>
              <w:rPr>
                <w:rFonts w:ascii="sans-serif" w:hAnsi="sans-serif"/>
                <w:b/>
                <w:color w:val="000000"/>
                <w:sz w:val="18"/>
              </w:rPr>
            </w:pPr>
            <w:r>
              <w:rPr>
                <w:rFonts w:ascii="sans-serif" w:hAnsi="sans-serif"/>
                <w:b/>
                <w:color w:val="000000"/>
                <w:sz w:val="18"/>
              </w:rPr>
              <w:t>2025</w:t>
            </w:r>
          </w:p>
        </w:tc>
        <w:tc>
          <w:tcPr>
            <w:tcW w:w="625" w:type="dxa"/>
            <w:tcBorders/>
            <w:tcMar>
              <w:top w:w="0" w:type="dxa"/>
              <w:left w:w="0" w:type="dxa"/>
              <w:bottom w:w="0" w:type="dxa"/>
              <w:right w:w="0" w:type="dxa"/>
            </w:tcMar>
            <w:vAlign w:val="center"/>
          </w:tcPr>
          <w:p>
            <w:pPr>
              <w:pStyle w:val="TableContents"/>
              <w:bidi w:val="0"/>
              <w:spacing w:before="0" w:after="283"/>
              <w:ind w:left="0" w:right="0" w:firstLine="479"/>
              <w:jc w:val="center"/>
              <w:rPr/>
            </w:pPr>
            <w:r>
              <w:rPr/>
              <w:t> </w:t>
            </w:r>
          </w:p>
        </w:tc>
        <w:tc>
          <w:tcPr>
            <w:tcW w:w="1753" w:type="dxa"/>
            <w:tcBorders/>
            <w:tcMar>
              <w:top w:w="0" w:type="dxa"/>
              <w:left w:w="0" w:type="dxa"/>
              <w:bottom w:w="0" w:type="dxa"/>
              <w:right w:w="0" w:type="dxa"/>
            </w:tcMar>
            <w:vAlign w:val="center"/>
          </w:tcPr>
          <w:p>
            <w:pPr>
              <w:pStyle w:val="TableContents"/>
              <w:bidi w:val="0"/>
              <w:spacing w:before="19" w:after="283"/>
              <w:ind w:left="0" w:right="0" w:firstLine="73"/>
              <w:jc w:val="center"/>
              <w:rPr>
                <w:rFonts w:ascii="sans-serif" w:hAnsi="sans-serif"/>
                <w:b/>
                <w:color w:val="000000"/>
                <w:sz w:val="18"/>
              </w:rPr>
            </w:pPr>
            <w:r>
              <w:rPr>
                <w:rFonts w:ascii="sans-serif" w:hAnsi="sans-serif"/>
                <w:b/>
                <w:color w:val="000000"/>
                <w:sz w:val="18"/>
              </w:rPr>
              <w:t>2024</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b/>
                <w:color w:val="000000"/>
                <w:sz w:val="18"/>
              </w:rPr>
            </w:pPr>
            <w:r>
              <w:rPr>
                <w:rFonts w:ascii="sans-serif" w:hAnsi="sans-serif"/>
                <w:b/>
                <w:color w:val="000000"/>
                <w:sz w:val="18"/>
              </w:rPr>
              <w:t>ASSETS</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73"/>
              <w:jc w:val="left"/>
              <w:rPr/>
            </w:pPr>
            <w:r>
              <w:rPr/>
              <w:t> </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color w:val="000000"/>
                <w:sz w:val="18"/>
              </w:rPr>
            </w:pPr>
            <w:r>
              <w:rPr>
                <w:rFonts w:ascii="sans-serif" w:hAnsi="sans-serif"/>
                <w:color w:val="000000"/>
                <w:sz w:val="18"/>
              </w:rPr>
              <w:t>CURRENT ASSETS:</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left"/>
              <w:rPr/>
            </w:pPr>
            <w:r>
              <w:rPr/>
              <w:t> </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Cash and cash equivalents</w:t>
            </w:r>
          </w:p>
        </w:tc>
        <w:tc>
          <w:tcPr>
            <w:tcW w:w="1486" w:type="dxa"/>
            <w:tcBorders/>
            <w:tcMar>
              <w:top w:w="0" w:type="dxa"/>
              <w:left w:w="0" w:type="dxa"/>
              <w:bottom w:w="0" w:type="dxa"/>
              <w:right w:w="0" w:type="dxa"/>
            </w:tcMar>
            <w:vAlign w:val="center"/>
          </w:tcPr>
          <w:p>
            <w:pPr>
              <w:pStyle w:val="TableContents"/>
              <w:bidi w:val="0"/>
              <w:spacing w:before="1" w:after="283"/>
              <w:jc w:val="right"/>
              <w:rPr>
                <w:rFonts w:ascii="sans-serif" w:hAnsi="sans-serif"/>
                <w:color w:val="000000"/>
                <w:sz w:val="18"/>
              </w:rPr>
            </w:pPr>
            <w:r>
              <w:rPr>
                <w:rFonts w:ascii="sans-serif" w:hAnsi="sans-serif"/>
                <w:color w:val="000000"/>
                <w:sz w:val="18"/>
              </w:rPr>
              <w:t>$ 7,687,799</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1" w:after="283"/>
              <w:ind w:left="0" w:right="0" w:firstLine="133"/>
              <w:jc w:val="right"/>
              <w:rPr>
                <w:rFonts w:ascii="sans-serif" w:hAnsi="sans-serif"/>
                <w:color w:val="000000"/>
                <w:sz w:val="18"/>
              </w:rPr>
            </w:pPr>
            <w:r>
              <w:rPr>
                <w:rFonts w:ascii="sans-serif" w:hAnsi="sans-serif"/>
                <w:color w:val="000000"/>
                <w:sz w:val="18"/>
              </w:rPr>
              <w:t>$ 3,401,438</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Accounts receivable, net</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30,868,253</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30,697,809</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Prepaid expenses</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4,332,191</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4,967,210</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Inventories</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2,585,192</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2,510,237</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Income tax receivable</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1,388,327</w:t>
            </w:r>
          </w:p>
        </w:tc>
        <w:tc>
          <w:tcPr>
            <w:tcW w:w="6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2"/>
              <w:jc w:val="right"/>
              <w:rPr>
                <w:rFonts w:ascii="sans-serif" w:hAnsi="sans-serif"/>
                <w:color w:val="000000"/>
                <w:sz w:val="18"/>
              </w:rPr>
            </w:pPr>
            <w:r>
              <w:rPr>
                <w:rFonts w:ascii="sans-serif" w:hAnsi="sans-serif"/>
                <w:color w:val="000000"/>
                <w:sz w:val="18"/>
              </w:rPr>
              <w:t>657,828</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402"/>
              <w:jc w:val="left"/>
              <w:rPr>
                <w:rFonts w:ascii="sans-serif" w:hAnsi="sans-serif"/>
                <w:color w:val="000000"/>
                <w:sz w:val="18"/>
              </w:rPr>
            </w:pPr>
            <w:r>
              <w:rPr>
                <w:rFonts w:ascii="sans-serif" w:hAnsi="sans-serif"/>
                <w:color w:val="000000"/>
                <w:sz w:val="18"/>
              </w:rPr>
              <w:t>Total current assets</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46,861,762</w:t>
            </w:r>
          </w:p>
        </w:tc>
        <w:tc>
          <w:tcPr>
            <w:tcW w:w="6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0" w:after="283"/>
              <w:ind w:left="0" w:right="0" w:firstLine="73"/>
              <w:jc w:val="right"/>
              <w:rPr>
                <w:rFonts w:ascii="sans-serif" w:hAnsi="sans-serif"/>
                <w:color w:val="000000"/>
                <w:sz w:val="18"/>
              </w:rPr>
            </w:pPr>
            <w:r>
              <w:rPr>
                <w:rFonts w:ascii="sans-serif" w:hAnsi="sans-serif"/>
                <w:color w:val="000000"/>
                <w:sz w:val="18"/>
              </w:rPr>
              <w:t>42,234,522</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color w:val="000000"/>
                <w:sz w:val="18"/>
              </w:rPr>
            </w:pPr>
            <w:r>
              <w:rPr>
                <w:rFonts w:ascii="sans-serif" w:hAnsi="sans-serif"/>
                <w:color w:val="000000"/>
                <w:sz w:val="18"/>
              </w:rPr>
              <w:t>NON-CURRENT ASSETS:</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left"/>
              <w:rPr/>
            </w:pPr>
            <w:r>
              <w:rPr/>
              <w:t> </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Security Investment</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18,750</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18,750</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Property and equipment, net</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5,209,295</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6,321,181</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Capitalized software development costs, net</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29,864,432</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15,825,109</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Right of use assets—operating leases</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6,853,751</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1"/>
              <w:jc w:val="right"/>
              <w:rPr>
                <w:rFonts w:ascii="sans-serif" w:hAnsi="sans-serif"/>
                <w:color w:val="000000"/>
                <w:sz w:val="18"/>
              </w:rPr>
            </w:pPr>
            <w:r>
              <w:rPr>
                <w:rFonts w:ascii="sans-serif" w:hAnsi="sans-serif"/>
                <w:color w:val="000000"/>
                <w:sz w:val="18"/>
              </w:rPr>
              <w:t>5,645,904</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1"/>
              <w:jc w:val="left"/>
              <w:rPr>
                <w:rFonts w:ascii="sans-serif" w:hAnsi="sans-serif"/>
                <w:color w:val="000000"/>
                <w:sz w:val="18"/>
              </w:rPr>
            </w:pPr>
            <w:r>
              <w:rPr>
                <w:rFonts w:ascii="sans-serif" w:hAnsi="sans-serif"/>
                <w:color w:val="000000"/>
                <w:sz w:val="18"/>
              </w:rPr>
              <w:t>Intangible assets—net</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112,369,226</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126,592,318</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Goodwill</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162,458,145</w:t>
            </w:r>
          </w:p>
        </w:tc>
        <w:tc>
          <w:tcPr>
            <w:tcW w:w="6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2"/>
              <w:jc w:val="right"/>
              <w:rPr>
                <w:rFonts w:ascii="sans-serif" w:hAnsi="sans-serif"/>
                <w:color w:val="000000"/>
                <w:sz w:val="18"/>
              </w:rPr>
            </w:pPr>
            <w:r>
              <w:rPr>
                <w:rFonts w:ascii="sans-serif" w:hAnsi="sans-serif"/>
                <w:color w:val="000000"/>
                <w:sz w:val="18"/>
              </w:rPr>
              <w:t>162,458,145</w:t>
            </w:r>
          </w:p>
        </w:tc>
      </w:tr>
      <w:tr>
        <w:trPr/>
        <w:tc>
          <w:tcPr>
            <w:tcW w:w="6341" w:type="dxa"/>
            <w:tcBorders/>
            <w:tcMar>
              <w:top w:w="0" w:type="dxa"/>
              <w:left w:w="0" w:type="dxa"/>
              <w:bottom w:w="0" w:type="dxa"/>
              <w:right w:w="0" w:type="dxa"/>
            </w:tcMar>
            <w:vAlign w:val="center"/>
          </w:tcPr>
          <w:p>
            <w:pPr>
              <w:pStyle w:val="TableContents"/>
              <w:bidi w:val="0"/>
              <w:spacing w:before="6" w:after="283"/>
              <w:ind w:left="0" w:right="0" w:firstLine="402"/>
              <w:jc w:val="left"/>
              <w:rPr>
                <w:rFonts w:ascii="sans-serif" w:hAnsi="sans-serif"/>
                <w:color w:val="000000"/>
                <w:sz w:val="18"/>
              </w:rPr>
            </w:pPr>
            <w:r>
              <w:rPr>
                <w:rFonts w:ascii="sans-serif" w:hAnsi="sans-serif"/>
                <w:color w:val="000000"/>
                <w:sz w:val="18"/>
              </w:rPr>
              <w:t>Total non-current assets</w:t>
            </w:r>
          </w:p>
        </w:tc>
        <w:tc>
          <w:tcPr>
            <w:tcW w:w="1486" w:type="dxa"/>
            <w:tcBorders>
              <w:bottom w:val="single" w:sz="4" w:space="0" w:color="000000"/>
            </w:tcBorders>
            <w:tcMar>
              <w:top w:w="0" w:type="dxa"/>
              <w:left w:w="0" w:type="dxa"/>
              <w:right w:w="0" w:type="dxa"/>
            </w:tcMar>
            <w:vAlign w:val="center"/>
          </w:tcPr>
          <w:p>
            <w:pPr>
              <w:pStyle w:val="TableContents"/>
              <w:bidi w:val="0"/>
              <w:spacing w:before="6" w:after="283"/>
              <w:jc w:val="right"/>
              <w:rPr>
                <w:rFonts w:ascii="sans-serif" w:hAnsi="sans-serif"/>
                <w:color w:val="000000"/>
                <w:sz w:val="18"/>
              </w:rPr>
            </w:pPr>
            <w:r>
              <w:rPr>
                <w:rFonts w:ascii="sans-serif" w:hAnsi="sans-serif"/>
                <w:color w:val="000000"/>
                <w:sz w:val="18"/>
              </w:rPr>
              <w:t>316,773,599</w:t>
            </w:r>
          </w:p>
        </w:tc>
        <w:tc>
          <w:tcPr>
            <w:tcW w:w="6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6" w:after="283"/>
              <w:ind w:left="0" w:right="0" w:firstLine="73"/>
              <w:jc w:val="right"/>
              <w:rPr>
                <w:rFonts w:ascii="sans-serif" w:hAnsi="sans-serif"/>
                <w:color w:val="000000"/>
                <w:sz w:val="18"/>
              </w:rPr>
            </w:pPr>
            <w:r>
              <w:rPr>
                <w:rFonts w:ascii="sans-serif" w:hAnsi="sans-serif"/>
                <w:color w:val="000000"/>
                <w:sz w:val="18"/>
              </w:rPr>
              <w:t>316,861,407</w:t>
            </w:r>
          </w:p>
        </w:tc>
      </w:tr>
      <w:tr>
        <w:trPr/>
        <w:tc>
          <w:tcPr>
            <w:tcW w:w="6341" w:type="dxa"/>
            <w:tcBorders/>
            <w:tcMar>
              <w:top w:w="0" w:type="dxa"/>
              <w:left w:w="0" w:type="dxa"/>
              <w:bottom w:w="0" w:type="dxa"/>
              <w:right w:w="0" w:type="dxa"/>
            </w:tcMar>
            <w:vAlign w:val="center"/>
          </w:tcPr>
          <w:p>
            <w:pPr>
              <w:pStyle w:val="TableContents"/>
              <w:bidi w:val="0"/>
              <w:spacing w:before="35" w:after="283"/>
              <w:ind w:left="0" w:right="0" w:firstLine="73"/>
              <w:jc w:val="left"/>
              <w:rPr>
                <w:rFonts w:ascii="sans-serif" w:hAnsi="sans-serif"/>
                <w:color w:val="000000"/>
                <w:sz w:val="18"/>
              </w:rPr>
            </w:pPr>
            <w:r>
              <w:rPr>
                <w:rFonts w:ascii="sans-serif" w:hAnsi="sans-serif"/>
                <w:color w:val="000000"/>
                <w:sz w:val="18"/>
              </w:rPr>
              <w:t>TOTAL ASSETS</w:t>
            </w:r>
          </w:p>
        </w:tc>
        <w:tc>
          <w:tcPr>
            <w:tcW w:w="1486" w:type="dxa"/>
            <w:tcBorders>
              <w:bottom w:val="double" w:sz="4" w:space="0" w:color="000000"/>
            </w:tcBorders>
            <w:tcMar>
              <w:top w:w="0" w:type="dxa"/>
              <w:left w:w="0" w:type="dxa"/>
              <w:right w:w="0" w:type="dxa"/>
            </w:tcMar>
            <w:vAlign w:val="center"/>
          </w:tcPr>
          <w:p>
            <w:pPr>
              <w:pStyle w:val="TableContents"/>
              <w:bidi w:val="0"/>
              <w:spacing w:before="18" w:after="283"/>
              <w:jc w:val="right"/>
              <w:rPr>
                <w:rFonts w:ascii="sans-serif" w:hAnsi="sans-serif"/>
                <w:color w:val="000000"/>
                <w:sz w:val="18"/>
              </w:rPr>
            </w:pPr>
            <w:r>
              <w:rPr>
                <w:rFonts w:ascii="sans-serif" w:hAnsi="sans-serif"/>
                <w:color w:val="000000"/>
                <w:sz w:val="18"/>
              </w:rPr>
              <w:t>$363,635,361</w:t>
            </w:r>
          </w:p>
        </w:tc>
        <w:tc>
          <w:tcPr>
            <w:tcW w:w="625"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double" w:sz="4" w:space="0" w:color="000000"/>
            </w:tcBorders>
            <w:tcMar>
              <w:top w:w="0" w:type="dxa"/>
              <w:left w:w="0" w:type="dxa"/>
              <w:right w:w="0" w:type="dxa"/>
            </w:tcMar>
            <w:vAlign w:val="center"/>
          </w:tcPr>
          <w:p>
            <w:pPr>
              <w:pStyle w:val="TableContents"/>
              <w:bidi w:val="0"/>
              <w:spacing w:before="18" w:after="283"/>
              <w:ind w:left="0" w:right="0" w:firstLine="73"/>
              <w:jc w:val="right"/>
              <w:rPr>
                <w:rFonts w:ascii="sans-serif" w:hAnsi="sans-serif"/>
                <w:color w:val="000000"/>
                <w:sz w:val="18"/>
              </w:rPr>
            </w:pPr>
            <w:r>
              <w:rPr>
                <w:rFonts w:ascii="sans-serif" w:hAnsi="sans-serif"/>
                <w:color w:val="000000"/>
                <w:sz w:val="18"/>
              </w:rPr>
              <w:t>$ 359,095,929</w:t>
            </w:r>
          </w:p>
        </w:tc>
      </w:tr>
      <w:tr>
        <w:trPr/>
        <w:tc>
          <w:tcPr>
            <w:tcW w:w="6341" w:type="dxa"/>
            <w:tcBorders/>
            <w:tcMar>
              <w:top w:w="0" w:type="dxa"/>
              <w:left w:w="0" w:type="dxa"/>
              <w:bottom w:w="0" w:type="dxa"/>
              <w:right w:w="0" w:type="dxa"/>
            </w:tcMar>
            <w:vAlign w:val="center"/>
          </w:tcPr>
          <w:p>
            <w:pPr>
              <w:pStyle w:val="TableContents"/>
              <w:bidi w:val="0"/>
              <w:spacing w:before="3" w:after="283"/>
              <w:ind w:left="0" w:right="0" w:firstLine="73"/>
              <w:jc w:val="left"/>
              <w:rPr>
                <w:rFonts w:ascii="sans-serif" w:hAnsi="sans-serif"/>
                <w:b/>
                <w:color w:val="000000"/>
                <w:sz w:val="18"/>
              </w:rPr>
            </w:pPr>
            <w:r>
              <w:rPr>
                <w:rFonts w:ascii="sans-serif" w:hAnsi="sans-serif"/>
                <w:b/>
                <w:color w:val="000000"/>
                <w:sz w:val="18"/>
              </w:rPr>
              <w:t>LIABILITIES AND STOCKHOLDERS’ EQUITY</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73"/>
              <w:jc w:val="left"/>
              <w:rPr/>
            </w:pPr>
            <w:r>
              <w:rPr/>
              <w:t> </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color w:val="000000"/>
                <w:sz w:val="18"/>
              </w:rPr>
            </w:pPr>
            <w:r>
              <w:rPr>
                <w:rFonts w:ascii="sans-serif" w:hAnsi="sans-serif"/>
                <w:color w:val="000000"/>
                <w:sz w:val="18"/>
              </w:rPr>
              <w:t>CURRENT LIABILITIES:</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left"/>
              <w:rPr/>
            </w:pPr>
            <w:r>
              <w:rPr/>
              <w:t> </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Accounts payable and accrued expenses</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$ 21,790,493</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$ 21,042,535</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Intercompany note payable</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12,415,789</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21,409,892</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Due to related party</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5,395,378</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6,078,842</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Customer deposits</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16,408,141</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15,222,141</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Deferred revenue</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7,393,105</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8,577,971</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Lease liability—operating lease (current)</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3,259,248</w:t>
            </w:r>
          </w:p>
        </w:tc>
        <w:tc>
          <w:tcPr>
            <w:tcW w:w="6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2"/>
              <w:jc w:val="right"/>
              <w:rPr>
                <w:rFonts w:ascii="sans-serif" w:hAnsi="sans-serif"/>
                <w:color w:val="000000"/>
                <w:sz w:val="18"/>
              </w:rPr>
            </w:pPr>
            <w:r>
              <w:rPr>
                <w:rFonts w:ascii="sans-serif" w:hAnsi="sans-serif"/>
                <w:color w:val="000000"/>
                <w:sz w:val="18"/>
              </w:rPr>
              <w:t>2,620,216</w:t>
            </w:r>
          </w:p>
        </w:tc>
      </w:tr>
      <w:tr>
        <w:trPr/>
        <w:tc>
          <w:tcPr>
            <w:tcW w:w="6341" w:type="dxa"/>
            <w:tcBorders/>
            <w:tcMar>
              <w:top w:w="0" w:type="dxa"/>
              <w:left w:w="0" w:type="dxa"/>
              <w:bottom w:w="0" w:type="dxa"/>
              <w:right w:w="0" w:type="dxa"/>
            </w:tcMar>
            <w:vAlign w:val="center"/>
          </w:tcPr>
          <w:p>
            <w:pPr>
              <w:pStyle w:val="TableContents"/>
              <w:bidi w:val="0"/>
              <w:spacing w:before="13" w:after="283"/>
              <w:ind w:left="0" w:right="0" w:firstLine="402"/>
              <w:jc w:val="left"/>
              <w:rPr>
                <w:rFonts w:ascii="sans-serif" w:hAnsi="sans-serif"/>
                <w:color w:val="000000"/>
                <w:sz w:val="18"/>
              </w:rPr>
            </w:pPr>
            <w:r>
              <w:rPr>
                <w:rFonts w:ascii="sans-serif" w:hAnsi="sans-serif"/>
                <w:color w:val="000000"/>
                <w:sz w:val="18"/>
              </w:rPr>
              <w:t>Total current liabilities</w:t>
            </w:r>
          </w:p>
        </w:tc>
        <w:tc>
          <w:tcPr>
            <w:tcW w:w="1486" w:type="dxa"/>
            <w:tcBorders>
              <w:bottom w:val="single" w:sz="4" w:space="0" w:color="000000"/>
            </w:tcBorders>
            <w:tcMar>
              <w:top w:w="0" w:type="dxa"/>
              <w:left w:w="0" w:type="dxa"/>
              <w:right w:w="0" w:type="dxa"/>
            </w:tcMar>
            <w:vAlign w:val="center"/>
          </w:tcPr>
          <w:p>
            <w:pPr>
              <w:pStyle w:val="TableContents"/>
              <w:bidi w:val="0"/>
              <w:spacing w:before="6" w:after="283"/>
              <w:jc w:val="right"/>
              <w:rPr>
                <w:rFonts w:ascii="sans-serif" w:hAnsi="sans-serif"/>
                <w:color w:val="000000"/>
                <w:sz w:val="18"/>
              </w:rPr>
            </w:pPr>
            <w:r>
              <w:rPr>
                <w:rFonts w:ascii="sans-serif" w:hAnsi="sans-serif"/>
                <w:color w:val="000000"/>
                <w:sz w:val="18"/>
              </w:rPr>
              <w:t>66,662,154</w:t>
            </w:r>
          </w:p>
        </w:tc>
        <w:tc>
          <w:tcPr>
            <w:tcW w:w="6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6" w:after="283"/>
              <w:ind w:left="0" w:right="0" w:firstLine="73"/>
              <w:jc w:val="right"/>
              <w:rPr>
                <w:rFonts w:ascii="sans-serif" w:hAnsi="sans-serif"/>
                <w:color w:val="000000"/>
                <w:sz w:val="18"/>
              </w:rPr>
            </w:pPr>
            <w:r>
              <w:rPr>
                <w:rFonts w:ascii="sans-serif" w:hAnsi="sans-serif"/>
                <w:color w:val="000000"/>
                <w:sz w:val="18"/>
              </w:rPr>
              <w:t>74,951,597</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color w:val="000000"/>
                <w:sz w:val="18"/>
              </w:rPr>
            </w:pPr>
            <w:r>
              <w:rPr>
                <w:rFonts w:ascii="sans-serif" w:hAnsi="sans-serif"/>
                <w:color w:val="000000"/>
                <w:sz w:val="18"/>
              </w:rPr>
              <w:t>NON-CURRENT LIABILITIES:</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left"/>
              <w:rPr/>
            </w:pPr>
            <w:r>
              <w:rPr/>
              <w:t> </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Lease liability—operating lease (noncurrent)</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3,912,596</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3,309,677</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Lease liability—finance lease (noncurrent)</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1,255,412</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1"/>
              <w:jc w:val="right"/>
              <w:rPr>
                <w:rFonts w:ascii="sans-serif" w:hAnsi="sans-serif"/>
                <w:color w:val="000000"/>
                <w:sz w:val="18"/>
              </w:rPr>
            </w:pPr>
            <w:r>
              <w:rPr>
                <w:rFonts w:ascii="sans-serif" w:hAnsi="sans-serif"/>
                <w:color w:val="000000"/>
                <w:sz w:val="18"/>
              </w:rPr>
              <w:t>945,589</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1"/>
              <w:jc w:val="left"/>
              <w:rPr>
                <w:rFonts w:ascii="sans-serif" w:hAnsi="sans-serif"/>
                <w:color w:val="000000"/>
                <w:sz w:val="18"/>
              </w:rPr>
            </w:pPr>
            <w:r>
              <w:rPr>
                <w:rFonts w:ascii="sans-serif" w:hAnsi="sans-serif"/>
                <w:color w:val="000000"/>
                <w:sz w:val="18"/>
              </w:rPr>
              <w:t>Deferred revenue</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1,238,635</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960,979</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Deferred tax liability</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32,918,499</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402"/>
              <w:jc w:val="right"/>
              <w:rPr>
                <w:rFonts w:ascii="sans-serif" w:hAnsi="sans-serif"/>
                <w:color w:val="000000"/>
                <w:sz w:val="18"/>
              </w:rPr>
            </w:pPr>
            <w:r>
              <w:rPr>
                <w:rFonts w:ascii="sans-serif" w:hAnsi="sans-serif"/>
                <w:color w:val="000000"/>
                <w:sz w:val="18"/>
              </w:rPr>
              <w:t>31,996,872</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402"/>
              <w:jc w:val="left"/>
              <w:rPr>
                <w:rFonts w:ascii="sans-serif" w:hAnsi="sans-serif"/>
                <w:color w:val="000000"/>
                <w:sz w:val="18"/>
              </w:rPr>
            </w:pPr>
            <w:r>
              <w:rPr>
                <w:rFonts w:ascii="sans-serif" w:hAnsi="sans-serif"/>
                <w:color w:val="000000"/>
                <w:sz w:val="18"/>
              </w:rPr>
              <w:t>Total non-current liabilities</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39,325,142</w:t>
            </w:r>
          </w:p>
        </w:tc>
        <w:tc>
          <w:tcPr>
            <w:tcW w:w="6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2"/>
              <w:jc w:val="right"/>
              <w:rPr>
                <w:rFonts w:ascii="sans-serif" w:hAnsi="sans-serif"/>
                <w:color w:val="000000"/>
                <w:sz w:val="18"/>
              </w:rPr>
            </w:pPr>
            <w:r>
              <w:rPr>
                <w:rFonts w:ascii="sans-serif" w:hAnsi="sans-serif"/>
                <w:color w:val="000000"/>
                <w:sz w:val="18"/>
              </w:rPr>
              <w:t>37,213,117</w:t>
            </w:r>
          </w:p>
        </w:tc>
      </w:tr>
      <w:tr>
        <w:trPr/>
        <w:tc>
          <w:tcPr>
            <w:tcW w:w="6341" w:type="dxa"/>
            <w:tcBorders/>
            <w:tcMar>
              <w:top w:w="0" w:type="dxa"/>
              <w:left w:w="0" w:type="dxa"/>
              <w:bottom w:w="0" w:type="dxa"/>
              <w:right w:w="0" w:type="dxa"/>
            </w:tcMar>
            <w:vAlign w:val="center"/>
          </w:tcPr>
          <w:p>
            <w:pPr>
              <w:pStyle w:val="TableContents"/>
              <w:bidi w:val="0"/>
              <w:spacing w:before="13" w:after="283"/>
              <w:ind w:left="0" w:right="0" w:firstLine="402"/>
              <w:jc w:val="left"/>
              <w:rPr>
                <w:rFonts w:ascii="sans-serif" w:hAnsi="sans-serif"/>
                <w:color w:val="000000"/>
                <w:sz w:val="18"/>
              </w:rPr>
            </w:pPr>
            <w:r>
              <w:rPr>
                <w:rFonts w:ascii="sans-serif" w:hAnsi="sans-serif"/>
                <w:color w:val="000000"/>
                <w:sz w:val="18"/>
              </w:rPr>
              <w:t>Total liabilities</w:t>
            </w:r>
          </w:p>
        </w:tc>
        <w:tc>
          <w:tcPr>
            <w:tcW w:w="1486" w:type="dxa"/>
            <w:tcBorders>
              <w:bottom w:val="single" w:sz="4" w:space="0" w:color="000000"/>
            </w:tcBorders>
            <w:tcMar>
              <w:top w:w="0" w:type="dxa"/>
              <w:left w:w="0" w:type="dxa"/>
              <w:right w:w="0" w:type="dxa"/>
            </w:tcMar>
            <w:vAlign w:val="center"/>
          </w:tcPr>
          <w:p>
            <w:pPr>
              <w:pStyle w:val="TableContents"/>
              <w:bidi w:val="0"/>
              <w:spacing w:before="6" w:after="283"/>
              <w:jc w:val="right"/>
              <w:rPr>
                <w:rFonts w:ascii="sans-serif" w:hAnsi="sans-serif"/>
                <w:color w:val="000000"/>
                <w:sz w:val="18"/>
              </w:rPr>
            </w:pPr>
            <w:r>
              <w:rPr>
                <w:rFonts w:ascii="sans-serif" w:hAnsi="sans-serif"/>
                <w:color w:val="000000"/>
                <w:sz w:val="18"/>
              </w:rPr>
              <w:t>$ 105,987,296</w:t>
            </w:r>
          </w:p>
        </w:tc>
        <w:tc>
          <w:tcPr>
            <w:tcW w:w="6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6" w:after="283"/>
              <w:ind w:left="0" w:right="0" w:firstLine="73"/>
              <w:jc w:val="right"/>
              <w:rPr>
                <w:rFonts w:ascii="sans-serif" w:hAnsi="sans-serif"/>
                <w:color w:val="000000"/>
                <w:sz w:val="18"/>
              </w:rPr>
            </w:pPr>
            <w:r>
              <w:rPr>
                <w:rFonts w:ascii="sans-serif" w:hAnsi="sans-serif"/>
                <w:color w:val="000000"/>
                <w:sz w:val="18"/>
              </w:rPr>
              <w:t>$ 112,164,714</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color w:val="000000"/>
                <w:sz w:val="18"/>
              </w:rPr>
            </w:pPr>
            <w:r>
              <w:rPr>
                <w:rFonts w:ascii="sans-serif" w:hAnsi="sans-serif"/>
                <w:color w:val="000000"/>
                <w:sz w:val="18"/>
              </w:rPr>
              <w:t>STOCKHOLDERS’ EQUITY:</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left"/>
              <w:rPr/>
            </w:pPr>
            <w:r>
              <w:rPr/>
              <w:t> </w:t>
            </w:r>
          </w:p>
        </w:tc>
      </w:tr>
      <w:tr>
        <w:trPr/>
        <w:tc>
          <w:tcPr>
            <w:tcW w:w="6341" w:type="dxa"/>
            <w:tcBorders/>
            <w:tcMar>
              <w:top w:w="0" w:type="dxa"/>
              <w:left w:w="0" w:type="dxa"/>
              <w:bottom w:w="0" w:type="dxa"/>
              <w:right w:w="0" w:type="dxa"/>
            </w:tcMar>
            <w:vAlign w:val="center"/>
          </w:tcPr>
          <w:p>
            <w:pPr>
              <w:pStyle w:val="TableContents"/>
              <w:bidi w:val="0"/>
              <w:ind w:left="0" w:right="0" w:firstLine="133"/>
              <w:jc w:val="left"/>
              <w:rPr>
                <w:rFonts w:ascii="sans-serif" w:hAnsi="sans-serif"/>
                <w:color w:val="000000"/>
                <w:sz w:val="18"/>
              </w:rPr>
            </w:pPr>
            <w:r>
              <w:rPr>
                <w:rFonts w:ascii="sans-serif" w:hAnsi="sans-serif"/>
                <w:color w:val="000000"/>
                <w:sz w:val="18"/>
              </w:rPr>
              <w:t>Common stock, $0.001 par value of - 10,000,000 shares authorized, 3,912,977 shares issued and</w:t>
            </w:r>
          </w:p>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outstanding,</w:t>
            </w:r>
          </w:p>
        </w:tc>
        <w:tc>
          <w:tcPr>
            <w:tcW w:w="1486" w:type="dxa"/>
            <w:tcBorders/>
            <w:tcMar>
              <w:top w:w="0" w:type="dxa"/>
              <w:left w:w="0" w:type="dxa"/>
              <w:bottom w:w="0" w:type="dxa"/>
              <w:right w:w="0" w:type="dxa"/>
            </w:tcMar>
            <w:vAlign w:val="center"/>
          </w:tcPr>
          <w:p>
            <w:pPr>
              <w:pStyle w:val="TableContents"/>
              <w:bidi w:val="0"/>
              <w:spacing w:before="53" w:after="283"/>
              <w:jc w:val="right"/>
              <w:rPr>
                <w:rFonts w:ascii="sans-serif" w:hAnsi="sans-serif"/>
                <w:color w:val="000000"/>
                <w:sz w:val="18"/>
              </w:rPr>
            </w:pPr>
            <w:r>
              <w:rPr>
                <w:rFonts w:ascii="sans-serif" w:hAnsi="sans-serif"/>
                <w:color w:val="000000"/>
                <w:sz w:val="18"/>
              </w:rPr>
              <w:t>3,913</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53" w:after="283"/>
              <w:ind w:left="0" w:right="0" w:firstLine="133"/>
              <w:jc w:val="right"/>
              <w:rPr>
                <w:rFonts w:ascii="sans-serif" w:hAnsi="sans-serif"/>
                <w:color w:val="000000"/>
                <w:sz w:val="18"/>
              </w:rPr>
            </w:pPr>
            <w:r>
              <w:rPr>
                <w:rFonts w:ascii="sans-serif" w:hAnsi="sans-serif"/>
                <w:color w:val="000000"/>
                <w:sz w:val="18"/>
              </w:rPr>
              <w:t>3,913</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Additional paid in capital</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151,115,587</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151,115,587</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Accumulated other comprehensive income (loss)</w:t>
            </w:r>
          </w:p>
        </w:tc>
        <w:tc>
          <w:tcPr>
            <w:tcW w:w="14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7,657,492</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7,745,765</w:t>
            </w:r>
          </w:p>
        </w:tc>
      </w:tr>
      <w:tr>
        <w:trPr/>
        <w:tc>
          <w:tcPr>
            <w:tcW w:w="6341"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Retained earnings</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98,871,073</w:t>
            </w:r>
          </w:p>
        </w:tc>
        <w:tc>
          <w:tcPr>
            <w:tcW w:w="6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2"/>
              <w:jc w:val="right"/>
              <w:rPr>
                <w:rFonts w:ascii="sans-serif" w:hAnsi="sans-serif"/>
                <w:color w:val="000000"/>
                <w:sz w:val="18"/>
              </w:rPr>
            </w:pPr>
            <w:r>
              <w:rPr>
                <w:rFonts w:ascii="sans-serif" w:hAnsi="sans-serif"/>
                <w:color w:val="000000"/>
                <w:sz w:val="18"/>
              </w:rPr>
              <w:t>88,065,950</w:t>
            </w:r>
          </w:p>
        </w:tc>
      </w:tr>
      <w:tr>
        <w:trPr/>
        <w:tc>
          <w:tcPr>
            <w:tcW w:w="6341" w:type="dxa"/>
            <w:tcBorders/>
            <w:tcMar>
              <w:top w:w="0" w:type="dxa"/>
              <w:left w:w="0" w:type="dxa"/>
              <w:bottom w:w="0" w:type="dxa"/>
              <w:right w:w="0" w:type="dxa"/>
            </w:tcMar>
            <w:vAlign w:val="center"/>
          </w:tcPr>
          <w:p>
            <w:pPr>
              <w:pStyle w:val="TableContents"/>
              <w:bidi w:val="0"/>
              <w:spacing w:before="13" w:after="283"/>
              <w:ind w:left="0" w:right="0" w:firstLine="402"/>
              <w:jc w:val="left"/>
              <w:rPr>
                <w:rFonts w:ascii="sans-serif" w:hAnsi="sans-serif"/>
                <w:color w:val="000000"/>
                <w:sz w:val="18"/>
              </w:rPr>
            </w:pPr>
            <w:r>
              <w:rPr>
                <w:rFonts w:ascii="sans-serif" w:hAnsi="sans-serif"/>
                <w:color w:val="000000"/>
                <w:sz w:val="18"/>
              </w:rPr>
              <w:t>Total stockholders’ equity</w:t>
            </w:r>
          </w:p>
        </w:tc>
        <w:tc>
          <w:tcPr>
            <w:tcW w:w="1486" w:type="dxa"/>
            <w:tcBorders>
              <w:bottom w:val="single" w:sz="4" w:space="0" w:color="000000"/>
            </w:tcBorders>
            <w:tcMar>
              <w:top w:w="0" w:type="dxa"/>
              <w:left w:w="0" w:type="dxa"/>
              <w:right w:w="0" w:type="dxa"/>
            </w:tcMar>
            <w:vAlign w:val="center"/>
          </w:tcPr>
          <w:p>
            <w:pPr>
              <w:pStyle w:val="TableContents"/>
              <w:bidi w:val="0"/>
              <w:spacing w:before="6" w:after="283"/>
              <w:jc w:val="right"/>
              <w:rPr>
                <w:rFonts w:ascii="sans-serif" w:hAnsi="sans-serif"/>
                <w:color w:val="000000"/>
                <w:sz w:val="18"/>
              </w:rPr>
            </w:pPr>
            <w:r>
              <w:rPr>
                <w:rFonts w:ascii="sans-serif" w:hAnsi="sans-serif"/>
                <w:color w:val="000000"/>
                <w:sz w:val="18"/>
              </w:rPr>
              <w:t>$ 257,648,065</w:t>
            </w:r>
          </w:p>
        </w:tc>
        <w:tc>
          <w:tcPr>
            <w:tcW w:w="6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6" w:after="283"/>
              <w:ind w:left="0" w:right="0" w:firstLine="73"/>
              <w:jc w:val="right"/>
              <w:rPr>
                <w:rFonts w:ascii="sans-serif" w:hAnsi="sans-serif"/>
                <w:color w:val="000000"/>
                <w:sz w:val="18"/>
              </w:rPr>
            </w:pPr>
            <w:r>
              <w:rPr>
                <w:rFonts w:ascii="sans-serif" w:hAnsi="sans-serif"/>
                <w:color w:val="000000"/>
                <w:sz w:val="18"/>
              </w:rPr>
              <w:t>$ 246,931,215</w:t>
            </w:r>
          </w:p>
        </w:tc>
      </w:tr>
      <w:tr>
        <w:trPr/>
        <w:tc>
          <w:tcPr>
            <w:tcW w:w="6341" w:type="dxa"/>
            <w:tcBorders/>
            <w:tcMar>
              <w:top w:w="0" w:type="dxa"/>
              <w:left w:w="0" w:type="dxa"/>
              <w:bottom w:w="0" w:type="dxa"/>
              <w:right w:w="0" w:type="dxa"/>
            </w:tcMar>
            <w:vAlign w:val="center"/>
          </w:tcPr>
          <w:p>
            <w:pPr>
              <w:pStyle w:val="TableContents"/>
              <w:bidi w:val="0"/>
              <w:spacing w:before="49" w:after="283"/>
              <w:ind w:left="0" w:right="0" w:firstLine="73"/>
              <w:jc w:val="left"/>
              <w:rPr>
                <w:rFonts w:ascii="sans-serif" w:hAnsi="sans-serif"/>
                <w:color w:val="000000"/>
                <w:sz w:val="18"/>
              </w:rPr>
            </w:pPr>
            <w:r>
              <w:rPr>
                <w:rFonts w:ascii="sans-serif" w:hAnsi="sans-serif"/>
                <w:color w:val="000000"/>
                <w:sz w:val="18"/>
              </w:rPr>
              <w:t>TOTAL LIABILITIES AND STOCKHOLDERS’ EQUITY</w:t>
            </w:r>
          </w:p>
        </w:tc>
        <w:tc>
          <w:tcPr>
            <w:tcW w:w="1486" w:type="dxa"/>
            <w:tcBorders>
              <w:bottom w:val="double" w:sz="4" w:space="0" w:color="000000"/>
            </w:tcBorders>
            <w:tcMar>
              <w:top w:w="0" w:type="dxa"/>
              <w:left w:w="0" w:type="dxa"/>
              <w:right w:w="0" w:type="dxa"/>
            </w:tcMar>
            <w:vAlign w:val="center"/>
          </w:tcPr>
          <w:p>
            <w:pPr>
              <w:pStyle w:val="TableContents"/>
              <w:bidi w:val="0"/>
              <w:spacing w:before="25" w:after="283"/>
              <w:jc w:val="right"/>
              <w:rPr>
                <w:rFonts w:ascii="sans-serif" w:hAnsi="sans-serif"/>
                <w:color w:val="000000"/>
                <w:sz w:val="18"/>
              </w:rPr>
            </w:pPr>
            <w:r>
              <w:rPr>
                <w:rFonts w:ascii="sans-serif" w:hAnsi="sans-serif"/>
                <w:color w:val="000000"/>
                <w:sz w:val="18"/>
              </w:rPr>
              <w:t>$ 363,635,361</w:t>
            </w:r>
          </w:p>
        </w:tc>
        <w:tc>
          <w:tcPr>
            <w:tcW w:w="625"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double" w:sz="4" w:space="0" w:color="000000"/>
            </w:tcBorders>
            <w:tcMar>
              <w:top w:w="0" w:type="dxa"/>
              <w:left w:w="0" w:type="dxa"/>
              <w:right w:w="0" w:type="dxa"/>
            </w:tcMar>
            <w:vAlign w:val="center"/>
          </w:tcPr>
          <w:p>
            <w:pPr>
              <w:pStyle w:val="TableContents"/>
              <w:bidi w:val="0"/>
              <w:spacing w:before="25" w:after="283"/>
              <w:jc w:val="right"/>
              <w:rPr>
                <w:rFonts w:ascii="sans-serif" w:hAnsi="sans-serif"/>
                <w:color w:val="000000"/>
                <w:sz w:val="18"/>
              </w:rPr>
            </w:pPr>
            <w:r>
              <w:rPr>
                <w:rFonts w:ascii="sans-serif" w:hAnsi="sans-serif"/>
                <w:color w:val="000000"/>
                <w:sz w:val="18"/>
              </w:rPr>
              <w:t>$ 359,095,929</w:t>
            </w:r>
          </w:p>
        </w:tc>
      </w:tr>
      <w:tr>
        <w:trPr/>
        <w:tc>
          <w:tcPr>
            <w:tcW w:w="7827" w:type="dxa"/>
            <w:gridSpan w:val="2"/>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sans-serif" w:hAnsi="sans-serif"/>
                <w:color w:val="000000"/>
                <w:sz w:val="18"/>
              </w:rPr>
            </w:pPr>
            <w:r>
              <w:rPr>
                <w:rFonts w:ascii="sans-serif" w:hAnsi="sans-serif"/>
                <w:color w:val="000000"/>
                <w:sz w:val="18"/>
              </w:rPr>
              <w:t>The accompanying notes are an integral part of these combined and consolidated financial statements.</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3</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4912"/>
        <w:gridCol w:w="2770"/>
        <w:gridCol w:w="179"/>
        <w:gridCol w:w="2344"/>
      </w:tblGrid>
      <w:tr>
        <w:trPr/>
        <w:tc>
          <w:tcPr>
            <w:tcW w:w="4912"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ind w:left="0" w:right="0" w:firstLine="31"/>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ind w:left="0" w:right="0" w:firstLine="31"/>
              <w:jc w:val="left"/>
              <w:rPr>
                <w:rFonts w:ascii="sans-serif" w:hAnsi="sans-serif"/>
                <w:b/>
                <w:color w:val="000000"/>
                <w:sz w:val="23"/>
              </w:rPr>
            </w:pPr>
            <w:r>
              <w:rPr>
                <w:rFonts w:ascii="sans-serif" w:hAnsi="sans-serif"/>
                <w:b/>
                <w:color w:val="000000"/>
                <w:sz w:val="23"/>
              </w:rPr>
              <w:t>KUBRA HOLDINGS, INC. AND SUBSIDIARIES, AND KUBRA DATA TRANSFER LTD.</w:t>
            </w:r>
          </w:p>
        </w:tc>
      </w:tr>
      <w:tr>
        <w:trPr/>
        <w:tc>
          <w:tcPr>
            <w:tcW w:w="10205" w:type="dxa"/>
            <w:gridSpan w:val="4"/>
            <w:tcBorders/>
            <w:tcMar>
              <w:top w:w="0" w:type="dxa"/>
              <w:left w:w="0" w:type="dxa"/>
              <w:bottom w:w="0" w:type="dxa"/>
              <w:right w:w="0" w:type="dxa"/>
            </w:tcMar>
            <w:vAlign w:val="center"/>
          </w:tcPr>
          <w:p>
            <w:pPr>
              <w:pStyle w:val="TableContents"/>
              <w:bidi w:val="0"/>
              <w:spacing w:before="126" w:after="283"/>
              <w:ind w:left="0" w:right="0" w:firstLine="31"/>
              <w:jc w:val="left"/>
              <w:rPr>
                <w:rFonts w:ascii="sans-serif" w:hAnsi="sans-serif"/>
                <w:b/>
                <w:color w:val="000000"/>
                <w:sz w:val="23"/>
              </w:rPr>
            </w:pPr>
            <w:r>
              <w:rPr>
                <w:rFonts w:ascii="sans-serif" w:hAnsi="sans-serif"/>
                <w:b/>
                <w:color w:val="000000"/>
                <w:sz w:val="23"/>
              </w:rPr>
              <w:t>COMBINED AND CONSOLIDATED STATEMENTS OF OPERATIONS</w:t>
            </w:r>
          </w:p>
        </w:tc>
      </w:tr>
      <w:tr>
        <w:trPr/>
        <w:tc>
          <w:tcPr>
            <w:tcW w:w="10205" w:type="dxa"/>
            <w:gridSpan w:val="4"/>
            <w:tcBorders>
              <w:bottom w:val="single" w:sz="4" w:space="0" w:color="000000"/>
            </w:tcBorders>
            <w:tcMar>
              <w:top w:w="0" w:type="dxa"/>
              <w:left w:w="0" w:type="dxa"/>
              <w:right w:w="0" w:type="dxa"/>
            </w:tcMar>
            <w:vAlign w:val="center"/>
          </w:tcPr>
          <w:p>
            <w:pPr>
              <w:pStyle w:val="TableContents"/>
              <w:bidi w:val="0"/>
              <w:spacing w:before="3" w:after="283"/>
              <w:ind w:left="0" w:right="0" w:firstLine="31"/>
              <w:jc w:val="left"/>
              <w:rPr>
                <w:rFonts w:ascii="sans-serif" w:hAnsi="sans-serif"/>
                <w:b/>
                <w:color w:val="000000"/>
                <w:sz w:val="23"/>
              </w:rPr>
            </w:pPr>
            <w:r>
              <w:rPr>
                <w:rFonts w:ascii="sans-serif" w:hAnsi="sans-serif"/>
                <w:b/>
                <w:color w:val="000000"/>
                <w:sz w:val="23"/>
              </w:rPr>
              <w:t>FOR THE YEARS ENDED DECEMBER 31, 2025 AND 2024</w:t>
            </w:r>
          </w:p>
        </w:tc>
      </w:tr>
      <w:tr>
        <w:trPr/>
        <w:tc>
          <w:tcPr>
            <w:tcW w:w="4912" w:type="dxa"/>
            <w:tcBorders/>
            <w:tcMar>
              <w:top w:w="0" w:type="dxa"/>
              <w:left w:w="0" w:type="dxa"/>
              <w:bottom w:w="0" w:type="dxa"/>
              <w:right w:w="0" w:type="dxa"/>
            </w:tcMar>
            <w:vAlign w:val="center"/>
          </w:tcPr>
          <w:p>
            <w:pPr>
              <w:pStyle w:val="TableContents"/>
              <w:bidi w:val="0"/>
              <w:spacing w:before="0" w:after="283"/>
              <w:jc w:val="left"/>
              <w:rPr/>
            </w:pPr>
            <w:r>
              <w:rPr/>
              <w:t> </w:t>
            </w:r>
          </w:p>
        </w:tc>
        <w:tc>
          <w:tcPr>
            <w:tcW w:w="2770"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44"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sans-serif" w:hAnsi="sans-serif"/>
                <w:b/>
                <w:color w:val="000000"/>
                <w:sz w:val="18"/>
              </w:rPr>
            </w:pPr>
            <w:r>
              <w:rPr>
                <w:rFonts w:ascii="sans-serif" w:hAnsi="sans-serif"/>
                <w:b/>
                <w:color w:val="000000"/>
                <w:sz w:val="18"/>
              </w:rPr>
              <w:t>2024</w:t>
            </w:r>
          </w:p>
        </w:tc>
      </w:tr>
      <w:tr>
        <w:trPr/>
        <w:tc>
          <w:tcPr>
            <w:tcW w:w="491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REVENUE</w:t>
            </w:r>
          </w:p>
        </w:tc>
        <w:tc>
          <w:tcPr>
            <w:tcW w:w="2770" w:type="dxa"/>
            <w:tcBorders/>
            <w:tcMar>
              <w:top w:w="0" w:type="dxa"/>
              <w:left w:w="0" w:type="dxa"/>
              <w:bottom w:w="0" w:type="dxa"/>
              <w:right w:w="0" w:type="dxa"/>
            </w:tcMar>
            <w:vAlign w:val="center"/>
          </w:tcPr>
          <w:p>
            <w:pPr>
              <w:pStyle w:val="TableContents"/>
              <w:bidi w:val="0"/>
              <w:spacing w:before="157" w:after="283"/>
              <w:jc w:val="right"/>
              <w:rPr/>
            </w:pPr>
            <w:r>
              <w:rPr/>
              <w:t> </w:t>
            </w:r>
          </w:p>
          <w:p>
            <w:pPr>
              <w:pStyle w:val="TableContents"/>
              <w:bidi w:val="0"/>
              <w:spacing w:before="1" w:after="283"/>
              <w:jc w:val="right"/>
              <w:rPr>
                <w:rFonts w:ascii="sans-serif" w:hAnsi="sans-serif"/>
                <w:color w:val="000000"/>
                <w:sz w:val="18"/>
              </w:rPr>
            </w:pPr>
            <w:r>
              <w:rPr>
                <w:rFonts w:ascii="sans-serif" w:hAnsi="sans-serif"/>
                <w:color w:val="000000"/>
                <w:sz w:val="18"/>
              </w:rPr>
              <w:t>$ 246,623,830</w:t>
            </w:r>
          </w:p>
        </w:tc>
        <w:tc>
          <w:tcPr>
            <w:tcW w:w="1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344" w:type="dxa"/>
            <w:tcBorders/>
            <w:tcMar>
              <w:top w:w="0" w:type="dxa"/>
              <w:left w:w="0" w:type="dxa"/>
              <w:bottom w:w="0" w:type="dxa"/>
              <w:right w:w="0" w:type="dxa"/>
            </w:tcMar>
            <w:vAlign w:val="center"/>
          </w:tcPr>
          <w:p>
            <w:pPr>
              <w:pStyle w:val="TableContents"/>
              <w:bidi w:val="0"/>
              <w:spacing w:before="157" w:after="283"/>
              <w:jc w:val="right"/>
              <w:rPr/>
            </w:pPr>
            <w:r>
              <w:rPr/>
              <w:t> </w:t>
            </w:r>
          </w:p>
          <w:p>
            <w:pPr>
              <w:pStyle w:val="TableContents"/>
              <w:bidi w:val="0"/>
              <w:spacing w:before="1" w:after="283"/>
              <w:ind w:left="0" w:right="0" w:firstLine="33"/>
              <w:jc w:val="right"/>
              <w:rPr>
                <w:rFonts w:ascii="sans-serif" w:hAnsi="sans-serif"/>
                <w:color w:val="000000"/>
                <w:sz w:val="18"/>
              </w:rPr>
            </w:pPr>
            <w:r>
              <w:rPr>
                <w:rFonts w:ascii="sans-serif" w:hAnsi="sans-serif"/>
                <w:color w:val="000000"/>
                <w:sz w:val="18"/>
              </w:rPr>
              <w:t>$ 235,356,314</w:t>
            </w:r>
          </w:p>
        </w:tc>
      </w:tr>
      <w:tr>
        <w:trPr/>
        <w:tc>
          <w:tcPr>
            <w:tcW w:w="4912" w:type="dxa"/>
            <w:tcBorders/>
            <w:tcMar>
              <w:top w:w="0" w:type="dxa"/>
              <w:left w:w="0" w:type="dxa"/>
              <w:bottom w:w="0" w:type="dxa"/>
              <w:right w:w="0" w:type="dxa"/>
            </w:tcMar>
            <w:vAlign w:val="center"/>
          </w:tcPr>
          <w:p>
            <w:pPr>
              <w:pStyle w:val="TableContents"/>
              <w:bidi w:val="0"/>
              <w:spacing w:before="32" w:after="283"/>
              <w:ind w:left="0" w:right="0" w:firstLine="569"/>
              <w:jc w:val="left"/>
              <w:rPr>
                <w:rFonts w:ascii="sans-serif" w:hAnsi="sans-serif"/>
                <w:color w:val="000000"/>
                <w:sz w:val="18"/>
              </w:rPr>
            </w:pPr>
            <w:r>
              <w:rPr>
                <w:rFonts w:ascii="sans-serif" w:hAnsi="sans-serif"/>
                <w:color w:val="000000"/>
                <w:sz w:val="18"/>
              </w:rPr>
              <w:t>COST OF REVENUE</w:t>
            </w:r>
          </w:p>
        </w:tc>
        <w:tc>
          <w:tcPr>
            <w:tcW w:w="2770" w:type="dxa"/>
            <w:tcBorders>
              <w:bottom w:val="single" w:sz="4" w:space="0" w:color="000000"/>
            </w:tcBorders>
            <w:tcMar>
              <w:top w:w="0" w:type="dxa"/>
              <w:left w:w="0" w:type="dxa"/>
              <w:right w:w="0" w:type="dxa"/>
            </w:tcMar>
            <w:vAlign w:val="center"/>
          </w:tcPr>
          <w:p>
            <w:pPr>
              <w:pStyle w:val="TableContents"/>
              <w:bidi w:val="0"/>
              <w:spacing w:before="44" w:after="283"/>
              <w:ind w:left="0" w:right="0" w:firstLine="569"/>
              <w:jc w:val="right"/>
              <w:rPr>
                <w:rFonts w:ascii="sans-serif" w:hAnsi="sans-serif"/>
                <w:color w:val="000000"/>
                <w:sz w:val="18"/>
              </w:rPr>
            </w:pPr>
            <w:r>
              <w:rPr>
                <w:rFonts w:ascii="sans-serif" w:hAnsi="sans-serif"/>
                <w:color w:val="000000"/>
                <w:sz w:val="18"/>
              </w:rPr>
              <w:t>133,442,387</w:t>
            </w:r>
          </w:p>
        </w:tc>
        <w:tc>
          <w:tcPr>
            <w:tcW w:w="17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44" w:type="dxa"/>
            <w:tcBorders>
              <w:bottom w:val="single" w:sz="4" w:space="0" w:color="000000"/>
            </w:tcBorders>
            <w:tcMar>
              <w:top w:w="0" w:type="dxa"/>
              <w:left w:w="0" w:type="dxa"/>
              <w:right w:w="0" w:type="dxa"/>
            </w:tcMar>
            <w:vAlign w:val="center"/>
          </w:tcPr>
          <w:p>
            <w:pPr>
              <w:pStyle w:val="TableContents"/>
              <w:bidi w:val="0"/>
              <w:spacing w:before="44" w:after="283"/>
              <w:ind w:left="0" w:right="0" w:firstLine="33"/>
              <w:jc w:val="right"/>
              <w:rPr>
                <w:rFonts w:ascii="sans-serif" w:hAnsi="sans-serif"/>
                <w:color w:val="000000"/>
                <w:sz w:val="18"/>
              </w:rPr>
            </w:pPr>
            <w:r>
              <w:rPr>
                <w:rFonts w:ascii="sans-serif" w:hAnsi="sans-serif"/>
                <w:color w:val="000000"/>
                <w:sz w:val="18"/>
              </w:rPr>
              <w:t>126,084,311</w:t>
            </w:r>
          </w:p>
        </w:tc>
      </w:tr>
      <w:tr>
        <w:trPr/>
        <w:tc>
          <w:tcPr>
            <w:tcW w:w="4912" w:type="dxa"/>
            <w:tcBorders/>
            <w:tcMar>
              <w:top w:w="0" w:type="dxa"/>
              <w:left w:w="0" w:type="dxa"/>
              <w:bottom w:w="0" w:type="dxa"/>
              <w:right w:w="0" w:type="dxa"/>
            </w:tcMar>
            <w:vAlign w:val="center"/>
          </w:tcPr>
          <w:p>
            <w:pPr>
              <w:pStyle w:val="TableContents"/>
              <w:bidi w:val="0"/>
              <w:spacing w:before="30" w:after="283"/>
              <w:ind w:left="0" w:right="0" w:firstLine="569"/>
              <w:jc w:val="left"/>
              <w:rPr>
                <w:rFonts w:ascii="sans-serif" w:hAnsi="sans-serif"/>
                <w:color w:val="000000"/>
                <w:sz w:val="18"/>
              </w:rPr>
            </w:pPr>
            <w:r>
              <w:rPr>
                <w:rFonts w:ascii="sans-serif" w:hAnsi="sans-serif"/>
                <w:color w:val="000000"/>
                <w:sz w:val="18"/>
              </w:rPr>
              <w:t>GROSS PROFIT</w:t>
            </w:r>
          </w:p>
        </w:tc>
        <w:tc>
          <w:tcPr>
            <w:tcW w:w="2770" w:type="dxa"/>
            <w:tcBorders>
              <w:bottom w:val="single" w:sz="4" w:space="0" w:color="000000"/>
            </w:tcBorders>
            <w:tcMar>
              <w:top w:w="0" w:type="dxa"/>
              <w:left w:w="0" w:type="dxa"/>
              <w:right w:w="0" w:type="dxa"/>
            </w:tcMar>
            <w:vAlign w:val="center"/>
          </w:tcPr>
          <w:p>
            <w:pPr>
              <w:pStyle w:val="TableContents"/>
              <w:bidi w:val="0"/>
              <w:spacing w:before="97" w:after="283"/>
              <w:ind w:left="0" w:right="0" w:firstLine="569"/>
              <w:jc w:val="right"/>
              <w:rPr>
                <w:rFonts w:ascii="sans-serif" w:hAnsi="sans-serif"/>
                <w:color w:val="000000"/>
                <w:sz w:val="18"/>
              </w:rPr>
            </w:pPr>
            <w:r>
              <w:rPr>
                <w:rFonts w:ascii="sans-serif" w:hAnsi="sans-serif"/>
                <w:color w:val="000000"/>
                <w:sz w:val="18"/>
              </w:rPr>
              <w:t>113,181,443</w:t>
            </w:r>
          </w:p>
        </w:tc>
        <w:tc>
          <w:tcPr>
            <w:tcW w:w="17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44" w:type="dxa"/>
            <w:tcBorders>
              <w:bottom w:val="single" w:sz="4" w:space="0" w:color="000000"/>
            </w:tcBorders>
            <w:tcMar>
              <w:top w:w="0" w:type="dxa"/>
              <w:left w:w="0" w:type="dxa"/>
              <w:right w:w="0" w:type="dxa"/>
            </w:tcMar>
            <w:vAlign w:val="center"/>
          </w:tcPr>
          <w:p>
            <w:pPr>
              <w:pStyle w:val="TableContents"/>
              <w:bidi w:val="0"/>
              <w:spacing w:before="97" w:after="283"/>
              <w:ind w:left="0" w:right="0" w:firstLine="33"/>
              <w:jc w:val="right"/>
              <w:rPr>
                <w:rFonts w:ascii="sans-serif" w:hAnsi="sans-serif"/>
                <w:color w:val="000000"/>
                <w:sz w:val="18"/>
              </w:rPr>
            </w:pPr>
            <w:r>
              <w:rPr>
                <w:rFonts w:ascii="sans-serif" w:hAnsi="sans-serif"/>
                <w:color w:val="000000"/>
                <w:sz w:val="18"/>
              </w:rPr>
              <w:t>109,272,003</w:t>
            </w:r>
          </w:p>
        </w:tc>
      </w:tr>
      <w:tr>
        <w:trPr/>
        <w:tc>
          <w:tcPr>
            <w:tcW w:w="4912" w:type="dxa"/>
            <w:tcBorders/>
            <w:tcMar>
              <w:top w:w="0" w:type="dxa"/>
              <w:left w:w="0" w:type="dxa"/>
              <w:bottom w:w="0" w:type="dxa"/>
              <w:right w:w="0" w:type="dxa"/>
            </w:tcMar>
            <w:vAlign w:val="center"/>
          </w:tcPr>
          <w:p>
            <w:pPr>
              <w:pStyle w:val="TableContents"/>
              <w:bidi w:val="0"/>
              <w:spacing w:before="87" w:after="283"/>
              <w:ind w:left="0" w:right="0" w:firstLine="33"/>
              <w:jc w:val="left"/>
              <w:rPr>
                <w:rFonts w:ascii="sans-serif" w:hAnsi="sans-serif"/>
                <w:color w:val="000000"/>
                <w:sz w:val="18"/>
              </w:rPr>
            </w:pPr>
            <w:r>
              <w:rPr>
                <w:rFonts w:ascii="sans-serif" w:hAnsi="sans-serif"/>
                <w:color w:val="000000"/>
                <w:sz w:val="18"/>
              </w:rPr>
              <w:t>OPERATING EXPENSES:</w:t>
            </w:r>
          </w:p>
        </w:tc>
        <w:tc>
          <w:tcPr>
            <w:tcW w:w="2770" w:type="dxa"/>
            <w:tcBorders/>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344" w:type="dxa"/>
            <w:tcBorders/>
            <w:tcMar>
              <w:top w:w="0" w:type="dxa"/>
              <w:left w:w="0" w:type="dxa"/>
              <w:bottom w:w="0" w:type="dxa"/>
              <w:right w:w="0" w:type="dxa"/>
            </w:tcMar>
            <w:vAlign w:val="center"/>
          </w:tcPr>
          <w:p>
            <w:pPr>
              <w:pStyle w:val="TableContents"/>
              <w:bidi w:val="0"/>
              <w:spacing w:before="0" w:after="283"/>
              <w:ind w:left="0" w:right="0" w:firstLine="134"/>
              <w:jc w:val="right"/>
              <w:rPr/>
            </w:pPr>
            <w:r>
              <w:rPr/>
              <w:t> </w:t>
            </w:r>
          </w:p>
        </w:tc>
      </w:tr>
      <w:tr>
        <w:trPr/>
        <w:tc>
          <w:tcPr>
            <w:tcW w:w="4912" w:type="dxa"/>
            <w:tcBorders/>
            <w:tcMar>
              <w:top w:w="0" w:type="dxa"/>
              <w:left w:w="0" w:type="dxa"/>
              <w:bottom w:w="0" w:type="dxa"/>
              <w:right w:w="0" w:type="dxa"/>
            </w:tcMar>
            <w:vAlign w:val="center"/>
          </w:tcPr>
          <w:p>
            <w:pPr>
              <w:pStyle w:val="TableContents"/>
              <w:bidi w:val="0"/>
              <w:spacing w:before="38" w:after="283"/>
              <w:ind w:left="0" w:right="0" w:firstLine="660"/>
              <w:jc w:val="left"/>
              <w:rPr>
                <w:rFonts w:ascii="sans-serif" w:hAnsi="sans-serif"/>
                <w:color w:val="000000"/>
                <w:sz w:val="18"/>
              </w:rPr>
            </w:pPr>
            <w:r>
              <w:rPr>
                <w:rFonts w:ascii="sans-serif" w:hAnsi="sans-serif"/>
                <w:color w:val="000000"/>
                <w:sz w:val="18"/>
              </w:rPr>
              <w:t>Research and development</w:t>
            </w:r>
          </w:p>
        </w:tc>
        <w:tc>
          <w:tcPr>
            <w:tcW w:w="2770" w:type="dxa"/>
            <w:tcBorders/>
            <w:tcMar>
              <w:top w:w="0" w:type="dxa"/>
              <w:left w:w="0" w:type="dxa"/>
              <w:bottom w:w="0" w:type="dxa"/>
              <w:right w:w="0" w:type="dxa"/>
            </w:tcMar>
            <w:vAlign w:val="center"/>
          </w:tcPr>
          <w:p>
            <w:pPr>
              <w:pStyle w:val="TableContents"/>
              <w:bidi w:val="0"/>
              <w:spacing w:before="47" w:after="283"/>
              <w:ind w:left="0" w:right="0" w:firstLine="660"/>
              <w:jc w:val="right"/>
              <w:rPr>
                <w:rFonts w:ascii="sans-serif" w:hAnsi="sans-serif"/>
                <w:color w:val="000000"/>
                <w:sz w:val="18"/>
              </w:rPr>
            </w:pPr>
            <w:r>
              <w:rPr>
                <w:rFonts w:ascii="sans-serif" w:hAnsi="sans-serif"/>
                <w:color w:val="000000"/>
                <w:sz w:val="18"/>
              </w:rPr>
              <w:t>50,645,954</w:t>
            </w:r>
          </w:p>
        </w:tc>
        <w:tc>
          <w:tcPr>
            <w:tcW w:w="1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344" w:type="dxa"/>
            <w:tcBorders/>
            <w:tcMar>
              <w:top w:w="0" w:type="dxa"/>
              <w:left w:w="0" w:type="dxa"/>
              <w:bottom w:w="0" w:type="dxa"/>
              <w:right w:w="0" w:type="dxa"/>
            </w:tcMar>
            <w:vAlign w:val="center"/>
          </w:tcPr>
          <w:p>
            <w:pPr>
              <w:pStyle w:val="TableContents"/>
              <w:bidi w:val="0"/>
              <w:spacing w:before="47" w:after="283"/>
              <w:ind w:left="0" w:right="0" w:firstLine="134"/>
              <w:jc w:val="right"/>
              <w:rPr>
                <w:rFonts w:ascii="sans-serif" w:hAnsi="sans-serif"/>
                <w:color w:val="000000"/>
                <w:sz w:val="18"/>
              </w:rPr>
            </w:pPr>
            <w:r>
              <w:rPr>
                <w:rFonts w:ascii="sans-serif" w:hAnsi="sans-serif"/>
                <w:color w:val="000000"/>
                <w:sz w:val="18"/>
              </w:rPr>
              <w:t>45,880,487</w:t>
            </w:r>
          </w:p>
        </w:tc>
      </w:tr>
      <w:tr>
        <w:trPr/>
        <w:tc>
          <w:tcPr>
            <w:tcW w:w="4912" w:type="dxa"/>
            <w:tcBorders/>
            <w:tcMar>
              <w:top w:w="0" w:type="dxa"/>
              <w:left w:w="0" w:type="dxa"/>
              <w:bottom w:w="0" w:type="dxa"/>
              <w:right w:w="0" w:type="dxa"/>
            </w:tcMar>
            <w:vAlign w:val="center"/>
          </w:tcPr>
          <w:p>
            <w:pPr>
              <w:pStyle w:val="TableContents"/>
              <w:bidi w:val="0"/>
              <w:spacing w:before="32" w:after="283"/>
              <w:ind w:left="0" w:right="0" w:firstLine="660"/>
              <w:jc w:val="left"/>
              <w:rPr>
                <w:rFonts w:ascii="sans-serif" w:hAnsi="sans-serif"/>
                <w:color w:val="000000"/>
                <w:sz w:val="18"/>
              </w:rPr>
            </w:pPr>
            <w:r>
              <w:rPr>
                <w:rFonts w:ascii="sans-serif" w:hAnsi="sans-serif"/>
                <w:color w:val="000000"/>
                <w:sz w:val="18"/>
              </w:rPr>
              <w:t>Sales and marketing</w:t>
            </w:r>
          </w:p>
        </w:tc>
        <w:tc>
          <w:tcPr>
            <w:tcW w:w="2770" w:type="dxa"/>
            <w:tcBorders/>
            <w:tcMar>
              <w:top w:w="0" w:type="dxa"/>
              <w:left w:w="0" w:type="dxa"/>
              <w:bottom w:w="0" w:type="dxa"/>
              <w:right w:w="0" w:type="dxa"/>
            </w:tcMar>
            <w:vAlign w:val="center"/>
          </w:tcPr>
          <w:p>
            <w:pPr>
              <w:pStyle w:val="TableContents"/>
              <w:bidi w:val="0"/>
              <w:spacing w:before="44" w:after="283"/>
              <w:ind w:left="0" w:right="0" w:firstLine="660"/>
              <w:jc w:val="right"/>
              <w:rPr>
                <w:rFonts w:ascii="sans-serif" w:hAnsi="sans-serif"/>
                <w:color w:val="000000"/>
                <w:sz w:val="18"/>
              </w:rPr>
            </w:pPr>
            <w:r>
              <w:rPr>
                <w:rFonts w:ascii="sans-serif" w:hAnsi="sans-serif"/>
                <w:color w:val="000000"/>
                <w:sz w:val="18"/>
              </w:rPr>
              <w:t>10,514,604</w:t>
            </w:r>
          </w:p>
        </w:tc>
        <w:tc>
          <w:tcPr>
            <w:tcW w:w="1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344" w:type="dxa"/>
            <w:tcBorders/>
            <w:tcMar>
              <w:top w:w="0" w:type="dxa"/>
              <w:left w:w="0" w:type="dxa"/>
              <w:bottom w:w="0" w:type="dxa"/>
              <w:right w:w="0" w:type="dxa"/>
            </w:tcMar>
            <w:vAlign w:val="center"/>
          </w:tcPr>
          <w:p>
            <w:pPr>
              <w:pStyle w:val="TableContents"/>
              <w:bidi w:val="0"/>
              <w:spacing w:before="44" w:after="283"/>
              <w:ind w:left="0" w:right="0" w:firstLine="134"/>
              <w:jc w:val="right"/>
              <w:rPr>
                <w:rFonts w:ascii="sans-serif" w:hAnsi="sans-serif"/>
                <w:color w:val="000000"/>
                <w:sz w:val="18"/>
              </w:rPr>
            </w:pPr>
            <w:r>
              <w:rPr>
                <w:rFonts w:ascii="sans-serif" w:hAnsi="sans-serif"/>
                <w:color w:val="000000"/>
                <w:sz w:val="18"/>
              </w:rPr>
              <w:t>10,945,032</w:t>
            </w:r>
          </w:p>
        </w:tc>
      </w:tr>
      <w:tr>
        <w:trPr/>
        <w:tc>
          <w:tcPr>
            <w:tcW w:w="4912" w:type="dxa"/>
            <w:tcBorders/>
            <w:tcMar>
              <w:top w:w="0" w:type="dxa"/>
              <w:left w:w="0" w:type="dxa"/>
              <w:bottom w:w="0" w:type="dxa"/>
              <w:right w:w="0" w:type="dxa"/>
            </w:tcMar>
            <w:vAlign w:val="center"/>
          </w:tcPr>
          <w:p>
            <w:pPr>
              <w:pStyle w:val="TableContents"/>
              <w:bidi w:val="0"/>
              <w:spacing w:before="2" w:after="283"/>
              <w:ind w:left="0" w:right="0" w:firstLine="134"/>
              <w:jc w:val="left"/>
              <w:rPr>
                <w:rFonts w:ascii="sans-serif" w:hAnsi="sans-serif"/>
                <w:color w:val="000000"/>
                <w:sz w:val="18"/>
              </w:rPr>
            </w:pPr>
            <w:r>
              <w:rPr>
                <w:rFonts w:ascii="sans-serif" w:hAnsi="sans-serif"/>
                <w:color w:val="000000"/>
                <w:sz w:val="18"/>
              </w:rPr>
              <w:t>General and administrative</w:t>
            </w:r>
          </w:p>
        </w:tc>
        <w:tc>
          <w:tcPr>
            <w:tcW w:w="2770" w:type="dxa"/>
            <w:tcBorders/>
            <w:tcMar>
              <w:top w:w="0" w:type="dxa"/>
              <w:left w:w="0" w:type="dxa"/>
              <w:bottom w:w="0" w:type="dxa"/>
              <w:right w:w="0" w:type="dxa"/>
            </w:tcMar>
            <w:vAlign w:val="center"/>
          </w:tcPr>
          <w:p>
            <w:pPr>
              <w:pStyle w:val="TableContents"/>
              <w:bidi w:val="0"/>
              <w:spacing w:before="71" w:after="283"/>
              <w:jc w:val="right"/>
              <w:rPr/>
            </w:pPr>
            <w:r>
              <w:rPr>
                <w:color w:val="000000"/>
                <w:u w:val="single"/>
              </w:rPr>
              <w:t> </w:t>
            </w:r>
            <w:r>
              <w:rPr>
                <w:rFonts w:ascii="sans-serif" w:hAnsi="sans-serif"/>
                <w:color w:val="000000"/>
                <w:sz w:val="18"/>
                <w:u w:val="single"/>
              </w:rPr>
              <w:t>36,931,785</w:t>
            </w:r>
            <w:r>
              <w:rPr>
                <w:rFonts w:ascii="Times New Roman" w:hAnsi="Times New Roman"/>
                <w:color w:val="000000"/>
                <w:sz w:val="18"/>
              </w:rPr>
              <w:t xml:space="preserve"> </w:t>
            </w:r>
          </w:p>
        </w:tc>
        <w:tc>
          <w:tcPr>
            <w:tcW w:w="1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344" w:type="dxa"/>
            <w:tcBorders/>
            <w:tcMar>
              <w:top w:w="0" w:type="dxa"/>
              <w:left w:w="0" w:type="dxa"/>
              <w:bottom w:w="0" w:type="dxa"/>
              <w:right w:w="0" w:type="dxa"/>
            </w:tcMar>
            <w:vAlign w:val="center"/>
          </w:tcPr>
          <w:p>
            <w:pPr>
              <w:pStyle w:val="TableContents"/>
              <w:bidi w:val="0"/>
              <w:spacing w:before="71" w:after="283"/>
              <w:ind w:left="0" w:right="0" w:firstLine="583"/>
              <w:jc w:val="right"/>
              <w:rPr/>
            </w:pPr>
            <w:r>
              <w:rPr>
                <w:color w:val="000000"/>
                <w:u w:val="single"/>
              </w:rPr>
              <w:t> </w:t>
            </w:r>
            <w:r>
              <w:rPr>
                <w:rFonts w:ascii="sans-serif" w:hAnsi="sans-serif"/>
                <w:color w:val="000000"/>
                <w:sz w:val="18"/>
                <w:u w:val="single"/>
              </w:rPr>
              <w:t>35,227,221</w:t>
            </w:r>
            <w:r>
              <w:rPr>
                <w:rFonts w:ascii="Times New Roman" w:hAnsi="Times New Roman"/>
                <w:color w:val="000000"/>
                <w:sz w:val="18"/>
              </w:rPr>
              <w:t xml:space="preserve"> </w:t>
            </w:r>
          </w:p>
        </w:tc>
      </w:tr>
      <w:tr>
        <w:trPr/>
        <w:tc>
          <w:tcPr>
            <w:tcW w:w="4912" w:type="dxa"/>
            <w:tcBorders/>
            <w:tcMar>
              <w:top w:w="0" w:type="dxa"/>
              <w:left w:w="0" w:type="dxa"/>
              <w:bottom w:w="0" w:type="dxa"/>
              <w:right w:w="0" w:type="dxa"/>
            </w:tcMar>
            <w:vAlign w:val="center"/>
          </w:tcPr>
          <w:p>
            <w:pPr>
              <w:pStyle w:val="TableContents"/>
              <w:bidi w:val="0"/>
              <w:spacing w:before="0" w:after="283"/>
              <w:ind w:left="0" w:right="0" w:firstLine="660"/>
              <w:jc w:val="left"/>
              <w:rPr>
                <w:rFonts w:ascii="sans-serif" w:hAnsi="sans-serif"/>
                <w:color w:val="000000"/>
                <w:sz w:val="18"/>
              </w:rPr>
            </w:pPr>
            <w:r>
              <w:rPr>
                <w:rFonts w:ascii="sans-serif" w:hAnsi="sans-serif"/>
                <w:color w:val="000000"/>
                <w:sz w:val="18"/>
              </w:rPr>
              <w:t>Total operating expenses</w:t>
            </w:r>
          </w:p>
        </w:tc>
        <w:tc>
          <w:tcPr>
            <w:tcW w:w="2770" w:type="dxa"/>
            <w:tcBorders>
              <w:bottom w:val="single" w:sz="4" w:space="0" w:color="000000"/>
            </w:tcBorders>
            <w:tcMar>
              <w:top w:w="0" w:type="dxa"/>
              <w:left w:w="0" w:type="dxa"/>
              <w:right w:w="0" w:type="dxa"/>
            </w:tcMar>
            <w:vAlign w:val="center"/>
          </w:tcPr>
          <w:p>
            <w:pPr>
              <w:pStyle w:val="TableContents"/>
              <w:bidi w:val="0"/>
              <w:spacing w:before="64" w:after="283"/>
              <w:ind w:left="0" w:right="0" w:firstLine="660"/>
              <w:jc w:val="right"/>
              <w:rPr>
                <w:rFonts w:ascii="sans-serif" w:hAnsi="sans-serif"/>
                <w:color w:val="000000"/>
                <w:sz w:val="18"/>
              </w:rPr>
            </w:pPr>
            <w:r>
              <w:rPr>
                <w:rFonts w:ascii="sans-serif" w:hAnsi="sans-serif"/>
                <w:color w:val="000000"/>
                <w:sz w:val="18"/>
              </w:rPr>
              <w:t>98,092,343</w:t>
            </w:r>
          </w:p>
        </w:tc>
        <w:tc>
          <w:tcPr>
            <w:tcW w:w="17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44" w:type="dxa"/>
            <w:tcBorders>
              <w:bottom w:val="single" w:sz="4" w:space="0" w:color="000000"/>
            </w:tcBorders>
            <w:tcMar>
              <w:top w:w="0" w:type="dxa"/>
              <w:left w:w="0" w:type="dxa"/>
              <w:right w:w="0" w:type="dxa"/>
            </w:tcMar>
            <w:vAlign w:val="center"/>
          </w:tcPr>
          <w:p>
            <w:pPr>
              <w:pStyle w:val="TableContents"/>
              <w:bidi w:val="0"/>
              <w:spacing w:before="64" w:after="283"/>
              <w:ind w:left="0" w:right="0" w:firstLine="33"/>
              <w:jc w:val="right"/>
              <w:rPr>
                <w:rFonts w:ascii="sans-serif" w:hAnsi="sans-serif"/>
                <w:color w:val="000000"/>
                <w:sz w:val="18"/>
              </w:rPr>
            </w:pPr>
            <w:r>
              <w:rPr>
                <w:rFonts w:ascii="sans-serif" w:hAnsi="sans-serif"/>
                <w:color w:val="000000"/>
                <w:sz w:val="18"/>
              </w:rPr>
              <w:t>92,052,740</w:t>
            </w:r>
          </w:p>
        </w:tc>
      </w:tr>
      <w:tr>
        <w:trPr/>
        <w:tc>
          <w:tcPr>
            <w:tcW w:w="4912" w:type="dxa"/>
            <w:tcBorders/>
            <w:tcMar>
              <w:top w:w="0" w:type="dxa"/>
              <w:left w:w="0" w:type="dxa"/>
              <w:bottom w:w="0" w:type="dxa"/>
              <w:right w:w="0" w:type="dxa"/>
            </w:tcMar>
            <w:vAlign w:val="center"/>
          </w:tcPr>
          <w:p>
            <w:pPr>
              <w:pStyle w:val="TableContents"/>
              <w:bidi w:val="0"/>
              <w:spacing w:before="39" w:after="283"/>
              <w:ind w:left="0" w:right="0" w:firstLine="660"/>
              <w:jc w:val="left"/>
              <w:rPr>
                <w:rFonts w:ascii="sans-serif" w:hAnsi="sans-serif"/>
                <w:color w:val="000000"/>
                <w:sz w:val="18"/>
              </w:rPr>
            </w:pPr>
            <w:r>
              <w:rPr>
                <w:rFonts w:ascii="sans-serif" w:hAnsi="sans-serif"/>
                <w:color w:val="000000"/>
                <w:sz w:val="18"/>
              </w:rPr>
              <w:t>INCOME FROM OPERATIONS</w:t>
            </w:r>
          </w:p>
        </w:tc>
        <w:tc>
          <w:tcPr>
            <w:tcW w:w="2770" w:type="dxa"/>
            <w:tcBorders>
              <w:bottom w:val="single" w:sz="4" w:space="0" w:color="000000"/>
            </w:tcBorders>
            <w:tcMar>
              <w:top w:w="0" w:type="dxa"/>
              <w:left w:w="0" w:type="dxa"/>
              <w:right w:w="0" w:type="dxa"/>
            </w:tcMar>
            <w:vAlign w:val="center"/>
          </w:tcPr>
          <w:p>
            <w:pPr>
              <w:pStyle w:val="TableContents"/>
              <w:bidi w:val="0"/>
              <w:spacing w:before="97" w:after="283"/>
              <w:ind w:left="0" w:right="0" w:firstLine="660"/>
              <w:jc w:val="right"/>
              <w:rPr>
                <w:rFonts w:ascii="sans-serif" w:hAnsi="sans-serif"/>
                <w:color w:val="000000"/>
                <w:sz w:val="18"/>
              </w:rPr>
            </w:pPr>
            <w:r>
              <w:rPr>
                <w:rFonts w:ascii="sans-serif" w:hAnsi="sans-serif"/>
                <w:color w:val="000000"/>
                <w:sz w:val="18"/>
              </w:rPr>
              <w:t>15,089,100</w:t>
            </w:r>
          </w:p>
        </w:tc>
        <w:tc>
          <w:tcPr>
            <w:tcW w:w="17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44" w:type="dxa"/>
            <w:tcBorders>
              <w:bottom w:val="single" w:sz="4" w:space="0" w:color="000000"/>
            </w:tcBorders>
            <w:tcMar>
              <w:top w:w="0" w:type="dxa"/>
              <w:left w:w="0" w:type="dxa"/>
              <w:right w:w="0" w:type="dxa"/>
            </w:tcMar>
            <w:vAlign w:val="center"/>
          </w:tcPr>
          <w:p>
            <w:pPr>
              <w:pStyle w:val="TableContents"/>
              <w:bidi w:val="0"/>
              <w:spacing w:before="97" w:after="283"/>
              <w:ind w:left="0" w:right="0" w:firstLine="33"/>
              <w:jc w:val="right"/>
              <w:rPr>
                <w:rFonts w:ascii="sans-serif" w:hAnsi="sans-serif"/>
                <w:color w:val="000000"/>
                <w:sz w:val="18"/>
              </w:rPr>
            </w:pPr>
            <w:r>
              <w:rPr>
                <w:rFonts w:ascii="sans-serif" w:hAnsi="sans-serif"/>
                <w:color w:val="000000"/>
                <w:sz w:val="18"/>
              </w:rPr>
              <w:t>17,219,263</w:t>
            </w:r>
          </w:p>
        </w:tc>
      </w:tr>
      <w:tr>
        <w:trPr/>
        <w:tc>
          <w:tcPr>
            <w:tcW w:w="4912" w:type="dxa"/>
            <w:tcBorders/>
            <w:tcMar>
              <w:top w:w="0" w:type="dxa"/>
              <w:left w:w="0" w:type="dxa"/>
              <w:bottom w:w="0" w:type="dxa"/>
              <w:right w:w="0" w:type="dxa"/>
            </w:tcMar>
            <w:vAlign w:val="center"/>
          </w:tcPr>
          <w:p>
            <w:pPr>
              <w:pStyle w:val="TableContents"/>
              <w:bidi w:val="0"/>
              <w:spacing w:before="87" w:after="283"/>
              <w:ind w:left="0" w:right="0" w:firstLine="33"/>
              <w:jc w:val="left"/>
              <w:rPr>
                <w:rFonts w:ascii="sans-serif" w:hAnsi="sans-serif"/>
                <w:color w:val="000000"/>
                <w:sz w:val="18"/>
              </w:rPr>
            </w:pPr>
            <w:r>
              <w:rPr>
                <w:rFonts w:ascii="sans-serif" w:hAnsi="sans-serif"/>
                <w:color w:val="000000"/>
                <w:sz w:val="18"/>
              </w:rPr>
              <w:t>OTHER EXPENSE:</w:t>
            </w:r>
          </w:p>
        </w:tc>
        <w:tc>
          <w:tcPr>
            <w:tcW w:w="2770" w:type="dxa"/>
            <w:tcBorders/>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344" w:type="dxa"/>
            <w:tcBorders/>
            <w:tcMar>
              <w:top w:w="0" w:type="dxa"/>
              <w:left w:w="0" w:type="dxa"/>
              <w:bottom w:w="0" w:type="dxa"/>
              <w:right w:w="0" w:type="dxa"/>
            </w:tcMar>
            <w:vAlign w:val="center"/>
          </w:tcPr>
          <w:p>
            <w:pPr>
              <w:pStyle w:val="TableContents"/>
              <w:bidi w:val="0"/>
              <w:spacing w:before="0" w:after="283"/>
              <w:ind w:left="0" w:right="0" w:firstLine="134"/>
              <w:jc w:val="right"/>
              <w:rPr/>
            </w:pPr>
            <w:r>
              <w:rPr/>
              <w:t> </w:t>
            </w:r>
          </w:p>
        </w:tc>
      </w:tr>
      <w:tr>
        <w:trPr/>
        <w:tc>
          <w:tcPr>
            <w:tcW w:w="4912" w:type="dxa"/>
            <w:tcBorders/>
            <w:tcMar>
              <w:top w:w="0" w:type="dxa"/>
              <w:left w:w="0" w:type="dxa"/>
              <w:bottom w:w="0" w:type="dxa"/>
              <w:right w:w="0" w:type="dxa"/>
            </w:tcMar>
            <w:vAlign w:val="center"/>
          </w:tcPr>
          <w:p>
            <w:pPr>
              <w:pStyle w:val="TableContents"/>
              <w:bidi w:val="0"/>
              <w:spacing w:before="37" w:after="283"/>
              <w:ind w:left="0" w:right="0" w:firstLine="888"/>
              <w:jc w:val="left"/>
              <w:rPr>
                <w:rFonts w:ascii="sans-serif" w:hAnsi="sans-serif"/>
                <w:color w:val="000000"/>
                <w:sz w:val="18"/>
              </w:rPr>
            </w:pPr>
            <w:r>
              <w:rPr>
                <w:rFonts w:ascii="sans-serif" w:hAnsi="sans-serif"/>
                <w:color w:val="000000"/>
                <w:sz w:val="18"/>
              </w:rPr>
              <w:t>Interest expense</w:t>
            </w:r>
          </w:p>
        </w:tc>
        <w:tc>
          <w:tcPr>
            <w:tcW w:w="2770" w:type="dxa"/>
            <w:tcBorders/>
            <w:tcMar>
              <w:top w:w="0" w:type="dxa"/>
              <w:left w:w="0" w:type="dxa"/>
              <w:bottom w:w="0" w:type="dxa"/>
              <w:right w:w="0" w:type="dxa"/>
            </w:tcMar>
            <w:vAlign w:val="center"/>
          </w:tcPr>
          <w:p>
            <w:pPr>
              <w:pStyle w:val="TableContents"/>
              <w:bidi w:val="0"/>
              <w:spacing w:before="49" w:after="283"/>
              <w:ind w:left="0" w:right="0" w:firstLine="888"/>
              <w:jc w:val="right"/>
              <w:rPr>
                <w:rFonts w:ascii="sans-serif" w:hAnsi="sans-serif"/>
                <w:color w:val="000000"/>
                <w:sz w:val="18"/>
              </w:rPr>
            </w:pPr>
            <w:r>
              <w:rPr>
                <w:rFonts w:ascii="sans-serif" w:hAnsi="sans-serif"/>
                <w:color w:val="000000"/>
                <w:sz w:val="18"/>
              </w:rPr>
              <w:t>911,449</w:t>
            </w:r>
          </w:p>
        </w:tc>
        <w:tc>
          <w:tcPr>
            <w:tcW w:w="1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344" w:type="dxa"/>
            <w:tcBorders/>
            <w:tcMar>
              <w:top w:w="0" w:type="dxa"/>
              <w:left w:w="0" w:type="dxa"/>
              <w:bottom w:w="0" w:type="dxa"/>
              <w:right w:w="0" w:type="dxa"/>
            </w:tcMar>
            <w:vAlign w:val="center"/>
          </w:tcPr>
          <w:p>
            <w:pPr>
              <w:pStyle w:val="TableContents"/>
              <w:bidi w:val="0"/>
              <w:spacing w:before="49" w:after="283"/>
              <w:ind w:left="0" w:right="0" w:firstLine="134"/>
              <w:jc w:val="right"/>
              <w:rPr>
                <w:rFonts w:ascii="sans-serif" w:hAnsi="sans-serif"/>
                <w:color w:val="000000"/>
                <w:sz w:val="18"/>
              </w:rPr>
            </w:pPr>
            <w:r>
              <w:rPr>
                <w:rFonts w:ascii="sans-serif" w:hAnsi="sans-serif"/>
                <w:color w:val="000000"/>
                <w:sz w:val="18"/>
              </w:rPr>
              <w:t>1,376,938</w:t>
            </w:r>
          </w:p>
        </w:tc>
      </w:tr>
      <w:tr>
        <w:trPr/>
        <w:tc>
          <w:tcPr>
            <w:tcW w:w="4912" w:type="dxa"/>
            <w:tcBorders/>
            <w:tcMar>
              <w:top w:w="0" w:type="dxa"/>
              <w:left w:w="0" w:type="dxa"/>
              <w:bottom w:w="0" w:type="dxa"/>
              <w:right w:w="0" w:type="dxa"/>
            </w:tcMar>
            <w:vAlign w:val="center"/>
          </w:tcPr>
          <w:p>
            <w:pPr>
              <w:pStyle w:val="TableContents"/>
              <w:bidi w:val="0"/>
              <w:spacing w:before="33" w:after="283"/>
              <w:ind w:left="0" w:right="0" w:firstLine="962"/>
              <w:jc w:val="left"/>
              <w:rPr>
                <w:rFonts w:ascii="sans-serif" w:hAnsi="sans-serif"/>
                <w:color w:val="000000"/>
                <w:sz w:val="18"/>
              </w:rPr>
            </w:pPr>
            <w:r>
              <w:rPr>
                <w:rFonts w:ascii="sans-serif" w:hAnsi="sans-serif"/>
                <w:color w:val="000000"/>
                <w:sz w:val="18"/>
              </w:rPr>
              <w:t>Foreign exchange loss</w:t>
            </w:r>
          </w:p>
        </w:tc>
        <w:tc>
          <w:tcPr>
            <w:tcW w:w="2770" w:type="dxa"/>
            <w:tcBorders/>
            <w:tcMar>
              <w:top w:w="0" w:type="dxa"/>
              <w:left w:w="0" w:type="dxa"/>
              <w:bottom w:w="0" w:type="dxa"/>
              <w:right w:w="0" w:type="dxa"/>
            </w:tcMar>
            <w:vAlign w:val="center"/>
          </w:tcPr>
          <w:p>
            <w:pPr>
              <w:pStyle w:val="TableContents"/>
              <w:bidi w:val="0"/>
              <w:spacing w:before="42" w:after="283"/>
              <w:ind w:left="0" w:right="0" w:firstLine="962"/>
              <w:jc w:val="right"/>
              <w:rPr>
                <w:rFonts w:ascii="sans-serif" w:hAnsi="sans-serif"/>
                <w:color w:val="000000"/>
                <w:sz w:val="18"/>
              </w:rPr>
            </w:pPr>
            <w:r>
              <w:rPr>
                <w:rFonts w:ascii="sans-serif" w:hAnsi="sans-serif"/>
                <w:color w:val="000000"/>
                <w:sz w:val="18"/>
              </w:rPr>
              <w:t>(1,729)</w:t>
            </w:r>
          </w:p>
        </w:tc>
        <w:tc>
          <w:tcPr>
            <w:tcW w:w="1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344" w:type="dxa"/>
            <w:tcBorders/>
            <w:tcMar>
              <w:top w:w="0" w:type="dxa"/>
              <w:left w:w="0" w:type="dxa"/>
              <w:bottom w:w="0" w:type="dxa"/>
              <w:right w:w="0" w:type="dxa"/>
            </w:tcMar>
            <w:vAlign w:val="center"/>
          </w:tcPr>
          <w:p>
            <w:pPr>
              <w:pStyle w:val="TableContents"/>
              <w:bidi w:val="0"/>
              <w:spacing w:before="43" w:after="283"/>
              <w:ind w:left="0" w:right="0" w:firstLine="134"/>
              <w:jc w:val="right"/>
              <w:rPr>
                <w:rFonts w:ascii="sans-serif" w:hAnsi="sans-serif"/>
                <w:color w:val="000000"/>
                <w:sz w:val="18"/>
              </w:rPr>
            </w:pPr>
            <w:r>
              <w:rPr>
                <w:rFonts w:ascii="sans-serif" w:hAnsi="sans-serif"/>
                <w:color w:val="000000"/>
                <w:sz w:val="18"/>
              </w:rPr>
              <w:t>842,641</w:t>
            </w:r>
          </w:p>
        </w:tc>
      </w:tr>
      <w:tr>
        <w:trPr/>
        <w:tc>
          <w:tcPr>
            <w:tcW w:w="4912" w:type="dxa"/>
            <w:tcBorders/>
            <w:tcMar>
              <w:top w:w="0" w:type="dxa"/>
              <w:left w:w="0" w:type="dxa"/>
              <w:bottom w:w="0" w:type="dxa"/>
              <w:right w:w="0" w:type="dxa"/>
            </w:tcMar>
            <w:vAlign w:val="center"/>
          </w:tcPr>
          <w:p>
            <w:pPr>
              <w:pStyle w:val="TableContents"/>
              <w:bidi w:val="0"/>
              <w:spacing w:before="5" w:after="283"/>
              <w:ind w:left="0" w:right="0" w:firstLine="134"/>
              <w:jc w:val="left"/>
              <w:rPr>
                <w:rFonts w:ascii="sans-serif" w:hAnsi="sans-serif"/>
                <w:color w:val="000000"/>
                <w:sz w:val="18"/>
              </w:rPr>
            </w:pPr>
            <w:r>
              <w:rPr>
                <w:rFonts w:ascii="sans-serif" w:hAnsi="sans-serif"/>
                <w:color w:val="000000"/>
                <w:sz w:val="18"/>
              </w:rPr>
              <w:t>Other</w:t>
            </w:r>
          </w:p>
        </w:tc>
        <w:tc>
          <w:tcPr>
            <w:tcW w:w="2770" w:type="dxa"/>
            <w:tcBorders>
              <w:bottom w:val="single" w:sz="4" w:space="0" w:color="000000"/>
            </w:tcBorders>
            <w:tcMar>
              <w:top w:w="0" w:type="dxa"/>
              <w:left w:w="0" w:type="dxa"/>
              <w:right w:w="0" w:type="dxa"/>
            </w:tcMar>
            <w:vAlign w:val="center"/>
          </w:tcPr>
          <w:p>
            <w:pPr>
              <w:pStyle w:val="TableContents"/>
              <w:bidi w:val="0"/>
              <w:spacing w:before="73" w:after="283"/>
              <w:jc w:val="right"/>
              <w:rPr>
                <w:rFonts w:ascii="sans-serif" w:hAnsi="sans-serif"/>
                <w:color w:val="000000"/>
                <w:sz w:val="18"/>
              </w:rPr>
            </w:pPr>
            <w:r>
              <w:rPr>
                <w:rFonts w:ascii="sans-serif" w:hAnsi="sans-serif"/>
                <w:color w:val="000000"/>
                <w:sz w:val="18"/>
              </w:rPr>
              <w:t>7,787</w:t>
            </w:r>
          </w:p>
        </w:tc>
        <w:tc>
          <w:tcPr>
            <w:tcW w:w="17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44" w:type="dxa"/>
            <w:tcBorders>
              <w:bottom w:val="single" w:sz="4" w:space="0" w:color="000000"/>
            </w:tcBorders>
            <w:tcMar>
              <w:top w:w="0" w:type="dxa"/>
              <w:left w:w="0" w:type="dxa"/>
              <w:right w:w="0" w:type="dxa"/>
            </w:tcMar>
            <w:vAlign w:val="center"/>
          </w:tcPr>
          <w:p>
            <w:pPr>
              <w:pStyle w:val="TableContents"/>
              <w:bidi w:val="0"/>
              <w:spacing w:before="73" w:after="283"/>
              <w:ind w:left="0" w:right="0" w:firstLine="583"/>
              <w:jc w:val="right"/>
              <w:rPr>
                <w:rFonts w:ascii="sans-serif" w:hAnsi="sans-serif"/>
                <w:color w:val="000000"/>
                <w:sz w:val="18"/>
              </w:rPr>
            </w:pPr>
            <w:r>
              <w:rPr>
                <w:rFonts w:ascii="sans-serif" w:hAnsi="sans-serif"/>
                <w:color w:val="000000"/>
                <w:sz w:val="18"/>
              </w:rPr>
              <w:t>(8,718)</w:t>
            </w:r>
          </w:p>
        </w:tc>
      </w:tr>
      <w:tr>
        <w:trPr/>
        <w:tc>
          <w:tcPr>
            <w:tcW w:w="4912" w:type="dxa"/>
            <w:tcBorders/>
            <w:tcMar>
              <w:top w:w="0" w:type="dxa"/>
              <w:left w:w="0" w:type="dxa"/>
              <w:bottom w:w="0" w:type="dxa"/>
              <w:right w:w="0" w:type="dxa"/>
            </w:tcMar>
            <w:vAlign w:val="center"/>
          </w:tcPr>
          <w:p>
            <w:pPr>
              <w:pStyle w:val="TableContents"/>
              <w:bidi w:val="0"/>
              <w:spacing w:before="30" w:after="283"/>
              <w:ind w:left="0" w:right="0" w:firstLine="888"/>
              <w:jc w:val="left"/>
              <w:rPr>
                <w:rFonts w:ascii="sans-serif" w:hAnsi="sans-serif"/>
                <w:color w:val="000000"/>
                <w:sz w:val="18"/>
              </w:rPr>
            </w:pPr>
            <w:r>
              <w:rPr>
                <w:rFonts w:ascii="sans-serif" w:hAnsi="sans-serif"/>
                <w:color w:val="000000"/>
                <w:sz w:val="18"/>
              </w:rPr>
              <w:t>Total other expense</w:t>
            </w:r>
          </w:p>
        </w:tc>
        <w:tc>
          <w:tcPr>
            <w:tcW w:w="2770" w:type="dxa"/>
            <w:tcBorders>
              <w:bottom w:val="single" w:sz="4" w:space="0" w:color="000000"/>
            </w:tcBorders>
            <w:tcMar>
              <w:top w:w="0" w:type="dxa"/>
              <w:left w:w="0" w:type="dxa"/>
              <w:right w:w="0" w:type="dxa"/>
            </w:tcMar>
            <w:vAlign w:val="center"/>
          </w:tcPr>
          <w:p>
            <w:pPr>
              <w:pStyle w:val="TableContents"/>
              <w:bidi w:val="0"/>
              <w:spacing w:before="97" w:after="283"/>
              <w:ind w:left="0" w:right="0" w:firstLine="888"/>
              <w:jc w:val="right"/>
              <w:rPr>
                <w:rFonts w:ascii="sans-serif" w:hAnsi="sans-serif"/>
                <w:color w:val="000000"/>
                <w:sz w:val="18"/>
              </w:rPr>
            </w:pPr>
            <w:r>
              <w:rPr>
                <w:rFonts w:ascii="sans-serif" w:hAnsi="sans-serif"/>
                <w:color w:val="000000"/>
                <w:sz w:val="18"/>
              </w:rPr>
              <w:t>917,507</w:t>
            </w:r>
          </w:p>
        </w:tc>
        <w:tc>
          <w:tcPr>
            <w:tcW w:w="17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44" w:type="dxa"/>
            <w:tcBorders>
              <w:bottom w:val="single" w:sz="4" w:space="0" w:color="000000"/>
            </w:tcBorders>
            <w:tcMar>
              <w:top w:w="0" w:type="dxa"/>
              <w:left w:w="0" w:type="dxa"/>
              <w:right w:w="0" w:type="dxa"/>
            </w:tcMar>
            <w:vAlign w:val="center"/>
          </w:tcPr>
          <w:p>
            <w:pPr>
              <w:pStyle w:val="TableContents"/>
              <w:bidi w:val="0"/>
              <w:spacing w:before="97" w:after="283"/>
              <w:ind w:left="0" w:right="0" w:firstLine="33"/>
              <w:jc w:val="right"/>
              <w:rPr>
                <w:rFonts w:ascii="sans-serif" w:hAnsi="sans-serif"/>
                <w:color w:val="000000"/>
                <w:sz w:val="18"/>
              </w:rPr>
            </w:pPr>
            <w:r>
              <w:rPr>
                <w:rFonts w:ascii="sans-serif" w:hAnsi="sans-serif"/>
                <w:color w:val="000000"/>
                <w:sz w:val="18"/>
              </w:rPr>
              <w:t>2,210,861</w:t>
            </w:r>
          </w:p>
        </w:tc>
      </w:tr>
      <w:tr>
        <w:trPr/>
        <w:tc>
          <w:tcPr>
            <w:tcW w:w="4912" w:type="dxa"/>
            <w:tcBorders/>
            <w:tcMar>
              <w:top w:w="0" w:type="dxa"/>
              <w:left w:w="0" w:type="dxa"/>
              <w:bottom w:w="0" w:type="dxa"/>
              <w:right w:w="0" w:type="dxa"/>
            </w:tcMar>
            <w:vAlign w:val="center"/>
          </w:tcPr>
          <w:p>
            <w:pPr>
              <w:pStyle w:val="TableContents"/>
              <w:bidi w:val="0"/>
              <w:spacing w:before="39" w:after="283"/>
              <w:ind w:left="0" w:right="0" w:firstLine="660"/>
              <w:jc w:val="left"/>
              <w:rPr>
                <w:rFonts w:ascii="sans-serif" w:hAnsi="sans-serif"/>
                <w:color w:val="000000"/>
                <w:sz w:val="18"/>
              </w:rPr>
            </w:pPr>
            <w:r>
              <w:rPr>
                <w:rFonts w:ascii="sans-serif" w:hAnsi="sans-serif"/>
                <w:color w:val="000000"/>
                <w:sz w:val="18"/>
              </w:rPr>
              <w:t>INCOME BEFORE INCOME TAXES</w:t>
            </w:r>
          </w:p>
        </w:tc>
        <w:tc>
          <w:tcPr>
            <w:tcW w:w="2770" w:type="dxa"/>
            <w:tcBorders/>
            <w:tcMar>
              <w:top w:w="0" w:type="dxa"/>
              <w:left w:w="0" w:type="dxa"/>
              <w:bottom w:w="0" w:type="dxa"/>
              <w:right w:w="0" w:type="dxa"/>
            </w:tcMar>
            <w:vAlign w:val="center"/>
          </w:tcPr>
          <w:p>
            <w:pPr>
              <w:pStyle w:val="TableContents"/>
              <w:bidi w:val="0"/>
              <w:spacing w:before="97" w:after="283"/>
              <w:ind w:left="0" w:right="0" w:firstLine="660"/>
              <w:jc w:val="right"/>
              <w:rPr>
                <w:rFonts w:ascii="sans-serif" w:hAnsi="sans-serif"/>
                <w:color w:val="000000"/>
                <w:sz w:val="18"/>
              </w:rPr>
            </w:pPr>
            <w:r>
              <w:rPr>
                <w:rFonts w:ascii="sans-serif" w:hAnsi="sans-serif"/>
                <w:color w:val="000000"/>
                <w:sz w:val="18"/>
              </w:rPr>
              <w:t>14,171,593</w:t>
            </w:r>
          </w:p>
        </w:tc>
        <w:tc>
          <w:tcPr>
            <w:tcW w:w="179" w:type="dxa"/>
            <w:tcBorders/>
            <w:tcMar>
              <w:top w:w="0" w:type="dxa"/>
              <w:left w:w="0" w:type="dxa"/>
              <w:bottom w:w="0" w:type="dxa"/>
              <w:right w:w="0" w:type="dxa"/>
            </w:tcMar>
            <w:vAlign w:val="center"/>
          </w:tcPr>
          <w:p>
            <w:pPr>
              <w:pStyle w:val="TableContents"/>
              <w:bidi w:val="0"/>
              <w:spacing w:before="0" w:after="283"/>
              <w:jc w:val="right"/>
              <w:rPr/>
            </w:pPr>
            <w:r>
              <w:rPr/>
              <w:t> </w:t>
            </w:r>
          </w:p>
        </w:tc>
        <w:tc>
          <w:tcPr>
            <w:tcW w:w="2344" w:type="dxa"/>
            <w:tcBorders/>
            <w:tcMar>
              <w:top w:w="0" w:type="dxa"/>
              <w:left w:w="0" w:type="dxa"/>
              <w:bottom w:w="0" w:type="dxa"/>
              <w:right w:w="0" w:type="dxa"/>
            </w:tcMar>
            <w:vAlign w:val="center"/>
          </w:tcPr>
          <w:p>
            <w:pPr>
              <w:pStyle w:val="TableContents"/>
              <w:bidi w:val="0"/>
              <w:spacing w:before="97" w:after="283"/>
              <w:ind w:left="0" w:right="0" w:firstLine="33"/>
              <w:jc w:val="right"/>
              <w:rPr>
                <w:rFonts w:ascii="sans-serif" w:hAnsi="sans-serif"/>
                <w:color w:val="000000"/>
                <w:sz w:val="18"/>
              </w:rPr>
            </w:pPr>
            <w:r>
              <w:rPr>
                <w:rFonts w:ascii="sans-serif" w:hAnsi="sans-serif"/>
                <w:color w:val="000000"/>
                <w:sz w:val="18"/>
              </w:rPr>
              <w:t>15,008,402</w:t>
            </w:r>
          </w:p>
        </w:tc>
      </w:tr>
      <w:tr>
        <w:trPr/>
        <w:tc>
          <w:tcPr>
            <w:tcW w:w="4912" w:type="dxa"/>
            <w:tcBorders/>
            <w:tcMar>
              <w:top w:w="0" w:type="dxa"/>
              <w:left w:w="0" w:type="dxa"/>
              <w:bottom w:w="0" w:type="dxa"/>
              <w:right w:w="0" w:type="dxa"/>
            </w:tcMar>
            <w:vAlign w:val="center"/>
          </w:tcPr>
          <w:p>
            <w:pPr>
              <w:pStyle w:val="TableContents"/>
              <w:bidi w:val="0"/>
              <w:spacing w:before="9" w:after="283"/>
              <w:ind w:left="0" w:right="0" w:firstLine="643"/>
              <w:jc w:val="left"/>
              <w:rPr>
                <w:rFonts w:ascii="sans-serif" w:hAnsi="sans-serif"/>
                <w:color w:val="000000"/>
                <w:sz w:val="18"/>
              </w:rPr>
            </w:pPr>
            <w:r>
              <w:rPr>
                <w:rFonts w:ascii="sans-serif" w:hAnsi="sans-serif"/>
                <w:color w:val="000000"/>
                <w:sz w:val="18"/>
              </w:rPr>
              <w:t>INCOME TAX EXPENSE</w:t>
            </w:r>
          </w:p>
        </w:tc>
        <w:tc>
          <w:tcPr>
            <w:tcW w:w="2770" w:type="dxa"/>
            <w:tcBorders>
              <w:bottom w:val="single" w:sz="4" w:space="0" w:color="000000"/>
            </w:tcBorders>
            <w:tcMar>
              <w:top w:w="0" w:type="dxa"/>
              <w:left w:w="0" w:type="dxa"/>
              <w:right w:w="0" w:type="dxa"/>
            </w:tcMar>
            <w:vAlign w:val="center"/>
          </w:tcPr>
          <w:p>
            <w:pPr>
              <w:pStyle w:val="TableContents"/>
              <w:bidi w:val="0"/>
              <w:spacing w:before="67" w:after="283"/>
              <w:ind w:left="0" w:right="0" w:firstLine="643"/>
              <w:jc w:val="right"/>
              <w:rPr>
                <w:rFonts w:ascii="sans-serif" w:hAnsi="sans-serif"/>
                <w:color w:val="000000"/>
                <w:sz w:val="18"/>
              </w:rPr>
            </w:pPr>
            <w:r>
              <w:rPr>
                <w:rFonts w:ascii="sans-serif" w:hAnsi="sans-serif"/>
                <w:color w:val="000000"/>
                <w:sz w:val="18"/>
              </w:rPr>
              <w:t>(3,366,470)</w:t>
            </w:r>
          </w:p>
        </w:tc>
        <w:tc>
          <w:tcPr>
            <w:tcW w:w="17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44" w:type="dxa"/>
            <w:tcBorders>
              <w:bottom w:val="single" w:sz="4" w:space="0" w:color="000000"/>
            </w:tcBorders>
            <w:tcMar>
              <w:top w:w="0" w:type="dxa"/>
              <w:left w:w="0" w:type="dxa"/>
              <w:right w:w="0" w:type="dxa"/>
            </w:tcMar>
            <w:vAlign w:val="center"/>
          </w:tcPr>
          <w:p>
            <w:pPr>
              <w:pStyle w:val="TableContents"/>
              <w:bidi w:val="0"/>
              <w:spacing w:before="67" w:after="283"/>
              <w:ind w:left="0" w:right="0" w:firstLine="33"/>
              <w:jc w:val="right"/>
              <w:rPr>
                <w:rFonts w:ascii="sans-serif" w:hAnsi="sans-serif"/>
                <w:color w:val="000000"/>
                <w:sz w:val="18"/>
              </w:rPr>
            </w:pPr>
            <w:r>
              <w:rPr>
                <w:rFonts w:ascii="sans-serif" w:hAnsi="sans-serif"/>
                <w:color w:val="000000"/>
                <w:sz w:val="18"/>
              </w:rPr>
              <w:t>(3,676,166)</w:t>
            </w:r>
          </w:p>
        </w:tc>
      </w:tr>
      <w:tr>
        <w:trPr/>
        <w:tc>
          <w:tcPr>
            <w:tcW w:w="4912" w:type="dxa"/>
            <w:tcBorders/>
            <w:tcMar>
              <w:top w:w="0" w:type="dxa"/>
              <w:left w:w="0" w:type="dxa"/>
              <w:bottom w:w="0" w:type="dxa"/>
              <w:right w:w="0" w:type="dxa"/>
            </w:tcMar>
            <w:vAlign w:val="center"/>
          </w:tcPr>
          <w:p>
            <w:pPr>
              <w:pStyle w:val="TableContents"/>
              <w:bidi w:val="0"/>
              <w:spacing w:before="20" w:after="283"/>
              <w:ind w:left="0" w:right="0" w:firstLine="449"/>
              <w:jc w:val="left"/>
              <w:rPr>
                <w:rFonts w:ascii="sans-serif" w:hAnsi="sans-serif"/>
                <w:color w:val="000000"/>
                <w:sz w:val="18"/>
              </w:rPr>
            </w:pPr>
            <w:r>
              <w:rPr>
                <w:rFonts w:ascii="sans-serif" w:hAnsi="sans-serif"/>
                <w:color w:val="000000"/>
                <w:sz w:val="18"/>
              </w:rPr>
              <w:t>NET INCOME</w:t>
            </w:r>
          </w:p>
        </w:tc>
        <w:tc>
          <w:tcPr>
            <w:tcW w:w="2770" w:type="dxa"/>
            <w:tcBorders>
              <w:bottom w:val="double" w:sz="4" w:space="0" w:color="000000"/>
            </w:tcBorders>
            <w:tcMar>
              <w:top w:w="0" w:type="dxa"/>
              <w:left w:w="0" w:type="dxa"/>
              <w:right w:w="0" w:type="dxa"/>
            </w:tcMar>
            <w:vAlign w:val="center"/>
          </w:tcPr>
          <w:p>
            <w:pPr>
              <w:pStyle w:val="TableContents"/>
              <w:bidi w:val="0"/>
              <w:spacing w:before="92" w:after="283"/>
              <w:ind w:left="0" w:right="0" w:firstLine="449"/>
              <w:jc w:val="right"/>
              <w:rPr>
                <w:rFonts w:ascii="sans-serif" w:hAnsi="sans-serif"/>
                <w:color w:val="000000"/>
                <w:sz w:val="18"/>
              </w:rPr>
            </w:pPr>
            <w:r>
              <w:rPr>
                <w:rFonts w:ascii="sans-serif" w:hAnsi="sans-serif"/>
                <w:color w:val="000000"/>
                <w:sz w:val="18"/>
              </w:rPr>
              <w:t>$ 10,805,123</w:t>
            </w:r>
          </w:p>
        </w:tc>
        <w:tc>
          <w:tcPr>
            <w:tcW w:w="179"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344" w:type="dxa"/>
            <w:tcBorders>
              <w:bottom w:val="double" w:sz="4" w:space="0" w:color="000000"/>
            </w:tcBorders>
            <w:tcMar>
              <w:top w:w="0" w:type="dxa"/>
              <w:left w:w="0" w:type="dxa"/>
              <w:right w:w="0" w:type="dxa"/>
            </w:tcMar>
            <w:vAlign w:val="center"/>
          </w:tcPr>
          <w:p>
            <w:pPr>
              <w:pStyle w:val="TableContents"/>
              <w:bidi w:val="0"/>
              <w:spacing w:before="92" w:after="283"/>
              <w:jc w:val="right"/>
              <w:rPr>
                <w:rFonts w:ascii="sans-serif" w:hAnsi="sans-serif"/>
                <w:color w:val="000000"/>
                <w:sz w:val="18"/>
              </w:rPr>
            </w:pPr>
            <w:r>
              <w:rPr>
                <w:rFonts w:ascii="sans-serif" w:hAnsi="sans-serif"/>
                <w:color w:val="000000"/>
                <w:sz w:val="18"/>
              </w:rPr>
              <w:t>$ 11,332,236</w:t>
            </w:r>
          </w:p>
        </w:tc>
      </w:tr>
      <w:tr>
        <w:trPr/>
        <w:tc>
          <w:tcPr>
            <w:tcW w:w="7682" w:type="dxa"/>
            <w:gridSpan w:val="2"/>
            <w:tcBorders/>
            <w:tcMar>
              <w:top w:w="0" w:type="dxa"/>
              <w:left w:w="0" w:type="dxa"/>
              <w:bottom w:w="0" w:type="dxa"/>
              <w:right w:w="0" w:type="dxa"/>
            </w:tcMar>
            <w:vAlign w:val="center"/>
          </w:tcPr>
          <w:p>
            <w:pPr>
              <w:pStyle w:val="TableContents"/>
              <w:bidi w:val="0"/>
              <w:spacing w:before="189" w:after="283"/>
              <w:jc w:val="left"/>
              <w:rPr/>
            </w:pPr>
            <w:r>
              <w:rPr/>
              <w:t> </w:t>
            </w:r>
          </w:p>
          <w:p>
            <w:pPr>
              <w:pStyle w:val="TableContents"/>
              <w:bidi w:val="0"/>
              <w:spacing w:before="0" w:after="283"/>
              <w:jc w:val="left"/>
              <w:rPr>
                <w:rFonts w:ascii="sans-serif" w:hAnsi="sans-serif"/>
                <w:color w:val="000000"/>
                <w:sz w:val="18"/>
              </w:rPr>
            </w:pPr>
            <w:r>
              <w:rPr>
                <w:rFonts w:ascii="sans-serif" w:hAnsi="sans-serif"/>
                <w:color w:val="000000"/>
                <w:sz w:val="18"/>
              </w:rPr>
              <w:t>The accompanying notes are an integral part of these combined and consolidated financial statements.</w:t>
            </w:r>
          </w:p>
        </w:tc>
        <w:tc>
          <w:tcPr>
            <w:tcW w:w="179" w:type="dxa"/>
            <w:tcBorders/>
            <w:tcMar>
              <w:top w:w="0" w:type="dxa"/>
              <w:left w:w="0" w:type="dxa"/>
              <w:bottom w:w="0" w:type="dxa"/>
              <w:right w:w="0" w:type="dxa"/>
            </w:tcMar>
            <w:vAlign w:val="center"/>
          </w:tcPr>
          <w:p>
            <w:pPr>
              <w:pStyle w:val="TableContents"/>
              <w:bidi w:val="0"/>
              <w:spacing w:before="0" w:after="283"/>
              <w:jc w:val="left"/>
              <w:rPr/>
            </w:pPr>
            <w:r>
              <w:rPr/>
              <w:t> </w:t>
            </w:r>
          </w:p>
        </w:tc>
        <w:tc>
          <w:tcPr>
            <w:tcW w:w="234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4</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7319"/>
        <w:gridCol w:w="1355"/>
        <w:gridCol w:w="146"/>
        <w:gridCol w:w="1385"/>
      </w:tblGrid>
      <w:tr>
        <w:trPr/>
        <w:tc>
          <w:tcPr>
            <w:tcW w:w="731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ind w:left="0" w:right="0" w:firstLine="31"/>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ind w:left="0" w:right="0" w:firstLine="31"/>
              <w:jc w:val="left"/>
              <w:rPr>
                <w:rFonts w:ascii="sans-serif" w:hAnsi="sans-serif"/>
                <w:b/>
                <w:color w:val="000000"/>
                <w:sz w:val="23"/>
              </w:rPr>
            </w:pPr>
            <w:r>
              <w:rPr>
                <w:rFonts w:ascii="sans-serif" w:hAnsi="sans-serif"/>
                <w:b/>
                <w:color w:val="000000"/>
                <w:sz w:val="23"/>
              </w:rPr>
              <w:t>KUBRA HOLDINGS, INC. AND SUBSIDIARIES, AND KUBRA DATA TRANSFER LTD.</w:t>
            </w:r>
          </w:p>
        </w:tc>
      </w:tr>
      <w:tr>
        <w:trPr/>
        <w:tc>
          <w:tcPr>
            <w:tcW w:w="10205" w:type="dxa"/>
            <w:gridSpan w:val="4"/>
            <w:tcBorders/>
            <w:tcMar>
              <w:top w:w="0" w:type="dxa"/>
              <w:left w:w="0" w:type="dxa"/>
              <w:bottom w:w="0" w:type="dxa"/>
              <w:right w:w="0" w:type="dxa"/>
            </w:tcMar>
            <w:vAlign w:val="center"/>
          </w:tcPr>
          <w:p>
            <w:pPr>
              <w:pStyle w:val="TableContents"/>
              <w:bidi w:val="0"/>
              <w:spacing w:before="117" w:after="283"/>
              <w:ind w:left="0" w:right="0" w:firstLine="31"/>
              <w:jc w:val="left"/>
              <w:rPr>
                <w:rFonts w:ascii="sans-serif" w:hAnsi="sans-serif"/>
                <w:b/>
                <w:color w:val="000000"/>
                <w:sz w:val="23"/>
              </w:rPr>
            </w:pPr>
            <w:r>
              <w:rPr>
                <w:rFonts w:ascii="sans-serif" w:hAnsi="sans-serif"/>
                <w:b/>
                <w:color w:val="000000"/>
                <w:sz w:val="23"/>
              </w:rPr>
              <w:t>COMBINED AND CONSOLIDATED STATEMENTS OF COMPREHENSIVE INCOME</w:t>
            </w:r>
          </w:p>
        </w:tc>
      </w:tr>
      <w:tr>
        <w:trPr/>
        <w:tc>
          <w:tcPr>
            <w:tcW w:w="7319" w:type="dxa"/>
            <w:tcBorders>
              <w:bottom w:val="single" w:sz="4" w:space="0" w:color="000000"/>
            </w:tcBorders>
            <w:tcMar>
              <w:top w:w="0" w:type="dxa"/>
              <w:left w:w="0" w:type="dxa"/>
              <w:right w:w="0" w:type="dxa"/>
            </w:tcMar>
            <w:vAlign w:val="center"/>
          </w:tcPr>
          <w:p>
            <w:pPr>
              <w:pStyle w:val="TableContents"/>
              <w:bidi w:val="0"/>
              <w:spacing w:before="0" w:after="283"/>
              <w:ind w:left="0" w:right="0" w:firstLine="31"/>
              <w:jc w:val="left"/>
              <w:rPr>
                <w:rFonts w:ascii="sans-serif" w:hAnsi="sans-serif"/>
                <w:b/>
                <w:color w:val="000000"/>
                <w:sz w:val="23"/>
              </w:rPr>
            </w:pPr>
            <w:r>
              <w:rPr>
                <w:rFonts w:ascii="sans-serif" w:hAnsi="sans-serif"/>
                <w:b/>
                <w:color w:val="000000"/>
                <w:sz w:val="23"/>
              </w:rPr>
              <w:t>FOR THE YEARS ENDED DECEMBER 31, 2025 AND 2024</w:t>
            </w:r>
          </w:p>
        </w:tc>
        <w:tc>
          <w:tcPr>
            <w:tcW w:w="13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tcMar>
              <w:top w:w="0" w:type="dxa"/>
              <w:left w:w="0" w:type="dxa"/>
              <w:bottom w:w="0" w:type="dxa"/>
              <w:right w:w="0" w:type="dxa"/>
            </w:tcMar>
            <w:vAlign w:val="center"/>
          </w:tcPr>
          <w:p>
            <w:pPr>
              <w:pStyle w:val="TableContents"/>
              <w:bidi w:val="0"/>
              <w:spacing w:before="47" w:after="283"/>
              <w:jc w:val="left"/>
              <w:rPr/>
            </w:pPr>
            <w:r>
              <w:rPr/>
              <w:t> </w:t>
            </w:r>
          </w:p>
          <w:p>
            <w:pPr>
              <w:pStyle w:val="TableContents"/>
              <w:bidi w:val="0"/>
              <w:spacing w:before="1" w:after="283"/>
              <w:jc w:val="center"/>
              <w:rPr>
                <w:rFonts w:ascii="sans-serif" w:hAnsi="sans-serif"/>
                <w:b/>
                <w:color w:val="000000"/>
                <w:sz w:val="18"/>
              </w:rPr>
            </w:pPr>
            <w:r>
              <w:rPr>
                <w:rFonts w:ascii="sans-serif" w:hAnsi="sans-serif"/>
                <w:b/>
                <w:color w:val="000000"/>
                <w:sz w:val="18"/>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tcMar>
              <w:top w:w="0" w:type="dxa"/>
              <w:left w:w="0" w:type="dxa"/>
              <w:bottom w:w="0" w:type="dxa"/>
              <w:right w:w="0" w:type="dxa"/>
            </w:tcMar>
            <w:vAlign w:val="center"/>
          </w:tcPr>
          <w:p>
            <w:pPr>
              <w:pStyle w:val="TableContents"/>
              <w:bidi w:val="0"/>
              <w:spacing w:before="47" w:after="283"/>
              <w:jc w:val="left"/>
              <w:rPr/>
            </w:pPr>
            <w:r>
              <w:rPr/>
              <w:t> </w:t>
            </w:r>
          </w:p>
          <w:p>
            <w:pPr>
              <w:pStyle w:val="TableContents"/>
              <w:bidi w:val="0"/>
              <w:spacing w:before="1" w:after="283"/>
              <w:ind w:left="0" w:right="0" w:firstLine="33"/>
              <w:jc w:val="center"/>
              <w:rPr>
                <w:rFonts w:ascii="sans-serif" w:hAnsi="sans-serif"/>
                <w:b/>
                <w:color w:val="000000"/>
                <w:sz w:val="18"/>
              </w:rPr>
            </w:pPr>
            <w:r>
              <w:rPr>
                <w:rFonts w:ascii="sans-serif" w:hAnsi="sans-serif"/>
                <w:b/>
                <w:color w:val="000000"/>
                <w:sz w:val="18"/>
              </w:rPr>
              <w:t>2024</w:t>
            </w:r>
          </w:p>
        </w:tc>
      </w:tr>
      <w:tr>
        <w:trPr/>
        <w:tc>
          <w:tcPr>
            <w:tcW w:w="7319" w:type="dxa"/>
            <w:tcBorders/>
            <w:tcMar>
              <w:top w:w="0" w:type="dxa"/>
              <w:left w:w="0" w:type="dxa"/>
              <w:bottom w:w="0" w:type="dxa"/>
              <w:right w:w="0" w:type="dxa"/>
            </w:tcMar>
            <w:vAlign w:val="center"/>
          </w:tcPr>
          <w:p>
            <w:pPr>
              <w:pStyle w:val="TableContents"/>
              <w:bidi w:val="0"/>
              <w:spacing w:before="182" w:after="283"/>
              <w:ind w:left="0" w:right="0" w:firstLine="33"/>
              <w:jc w:val="left"/>
              <w:rPr>
                <w:rFonts w:ascii="sans-serif" w:hAnsi="sans-serif"/>
                <w:color w:val="000000"/>
                <w:sz w:val="18"/>
              </w:rPr>
            </w:pPr>
            <w:r>
              <w:rPr>
                <w:rFonts w:ascii="sans-serif" w:hAnsi="sans-serif"/>
                <w:color w:val="000000"/>
                <w:sz w:val="18"/>
              </w:rPr>
              <w:t>NET INCOME</w:t>
            </w:r>
          </w:p>
        </w:tc>
        <w:tc>
          <w:tcPr>
            <w:tcW w:w="1355" w:type="dxa"/>
            <w:tcBorders/>
            <w:tcMar>
              <w:top w:w="0" w:type="dxa"/>
              <w:left w:w="0" w:type="dxa"/>
              <w:bottom w:w="0" w:type="dxa"/>
              <w:right w:w="0" w:type="dxa"/>
            </w:tcMar>
            <w:vAlign w:val="center"/>
          </w:tcPr>
          <w:p>
            <w:pPr>
              <w:pStyle w:val="TableContents"/>
              <w:bidi w:val="0"/>
              <w:spacing w:before="191" w:after="283"/>
              <w:jc w:val="right"/>
              <w:rPr>
                <w:rFonts w:ascii="sans-serif" w:hAnsi="sans-serif"/>
                <w:color w:val="000000"/>
                <w:sz w:val="18"/>
              </w:rPr>
            </w:pPr>
            <w:r>
              <w:rPr>
                <w:rFonts w:ascii="sans-serif" w:hAnsi="sans-serif"/>
                <w:color w:val="000000"/>
                <w:sz w:val="18"/>
              </w:rPr>
              <w:t>$10,805,123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tcMar>
              <w:top w:w="0" w:type="dxa"/>
              <w:left w:w="0" w:type="dxa"/>
              <w:bottom w:w="0" w:type="dxa"/>
              <w:right w:w="0" w:type="dxa"/>
            </w:tcMar>
            <w:vAlign w:val="center"/>
          </w:tcPr>
          <w:p>
            <w:pPr>
              <w:pStyle w:val="TableContents"/>
              <w:bidi w:val="0"/>
              <w:spacing w:before="191" w:after="283"/>
              <w:ind w:left="0" w:right="0" w:firstLine="33"/>
              <w:jc w:val="right"/>
              <w:rPr>
                <w:rFonts w:ascii="sans-serif" w:hAnsi="sans-serif"/>
                <w:color w:val="000000"/>
                <w:sz w:val="18"/>
              </w:rPr>
            </w:pPr>
            <w:r>
              <w:rPr>
                <w:rFonts w:ascii="sans-serif" w:hAnsi="sans-serif"/>
                <w:color w:val="000000"/>
                <w:sz w:val="18"/>
              </w:rPr>
              <w:t>$11,332,236</w:t>
            </w:r>
          </w:p>
        </w:tc>
      </w:tr>
      <w:tr>
        <w:trPr/>
        <w:tc>
          <w:tcPr>
            <w:tcW w:w="7319" w:type="dxa"/>
            <w:tcBorders/>
            <w:tcMar>
              <w:top w:w="0" w:type="dxa"/>
              <w:left w:w="0" w:type="dxa"/>
              <w:bottom w:w="0" w:type="dxa"/>
              <w:right w:w="0" w:type="dxa"/>
            </w:tcMar>
            <w:vAlign w:val="center"/>
          </w:tcPr>
          <w:p>
            <w:pPr>
              <w:pStyle w:val="TableContents"/>
              <w:bidi w:val="0"/>
              <w:spacing w:before="73" w:after="283"/>
              <w:ind w:left="0" w:right="0" w:firstLine="33"/>
              <w:jc w:val="left"/>
              <w:rPr>
                <w:rFonts w:ascii="sans-serif" w:hAnsi="sans-serif"/>
                <w:color w:val="000000"/>
                <w:sz w:val="18"/>
              </w:rPr>
            </w:pPr>
            <w:r>
              <w:rPr>
                <w:rFonts w:ascii="sans-serif" w:hAnsi="sans-serif"/>
                <w:color w:val="000000"/>
                <w:sz w:val="18"/>
              </w:rPr>
              <w:t>OTHER COMPREHENSIVE (LOSS) INCOME – Foreign currency translation adjustments</w:t>
            </w:r>
          </w:p>
        </w:tc>
        <w:tc>
          <w:tcPr>
            <w:tcW w:w="1355" w:type="dxa"/>
            <w:tcBorders>
              <w:bottom w:val="single" w:sz="4" w:space="0" w:color="000000"/>
            </w:tcBorders>
            <w:tcMar>
              <w:top w:w="0" w:type="dxa"/>
              <w:left w:w="0" w:type="dxa"/>
              <w:right w:w="0" w:type="dxa"/>
            </w:tcMar>
            <w:vAlign w:val="center"/>
          </w:tcPr>
          <w:p>
            <w:pPr>
              <w:pStyle w:val="TableContents"/>
              <w:bidi w:val="0"/>
              <w:spacing w:before="46" w:after="283"/>
              <w:jc w:val="right"/>
              <w:rPr>
                <w:rFonts w:ascii="sans-serif" w:hAnsi="sans-serif"/>
                <w:color w:val="000000"/>
                <w:sz w:val="18"/>
              </w:rPr>
            </w:pPr>
            <w:r>
              <w:rPr>
                <w:rFonts w:ascii="sans-serif" w:hAnsi="sans-serif"/>
                <w:color w:val="000000"/>
                <w:sz w:val="18"/>
              </w:rPr>
              <w:t>(88,274)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tcMar>
              <w:top w:w="0" w:type="dxa"/>
              <w:left w:w="0" w:type="dxa"/>
              <w:right w:w="0" w:type="dxa"/>
            </w:tcMar>
            <w:vAlign w:val="center"/>
          </w:tcPr>
          <w:p>
            <w:pPr>
              <w:pStyle w:val="TableContents"/>
              <w:bidi w:val="0"/>
              <w:spacing w:before="46" w:after="283"/>
              <w:ind w:left="0" w:right="0" w:firstLine="33"/>
              <w:jc w:val="right"/>
              <w:rPr>
                <w:rFonts w:ascii="sans-serif" w:hAnsi="sans-serif"/>
                <w:color w:val="000000"/>
                <w:sz w:val="18"/>
              </w:rPr>
            </w:pPr>
            <w:r>
              <w:rPr>
                <w:rFonts w:ascii="sans-serif" w:hAnsi="sans-serif"/>
                <w:color w:val="000000"/>
                <w:sz w:val="18"/>
              </w:rPr>
              <w:t>343,752</w:t>
            </w:r>
          </w:p>
        </w:tc>
      </w:tr>
      <w:tr>
        <w:trPr/>
        <w:tc>
          <w:tcPr>
            <w:tcW w:w="7319" w:type="dxa"/>
            <w:tcBorders/>
            <w:tcMar>
              <w:top w:w="0" w:type="dxa"/>
              <w:left w:w="0" w:type="dxa"/>
              <w:bottom w:w="0" w:type="dxa"/>
              <w:right w:w="0" w:type="dxa"/>
            </w:tcMar>
            <w:vAlign w:val="center"/>
          </w:tcPr>
          <w:p>
            <w:pPr>
              <w:pStyle w:val="TableContents"/>
              <w:bidi w:val="0"/>
              <w:spacing w:before="140" w:after="283"/>
              <w:ind w:left="0" w:right="0" w:firstLine="33"/>
              <w:jc w:val="left"/>
              <w:rPr>
                <w:rFonts w:ascii="sans-serif" w:hAnsi="sans-serif"/>
                <w:color w:val="000000"/>
                <w:sz w:val="18"/>
              </w:rPr>
            </w:pPr>
            <w:r>
              <w:rPr>
                <w:rFonts w:ascii="sans-serif" w:hAnsi="sans-serif"/>
                <w:color w:val="000000"/>
                <w:sz w:val="18"/>
              </w:rPr>
              <w:t>OTHER COMPREHENSIVE INCOME</w:t>
            </w:r>
          </w:p>
        </w:tc>
        <w:tc>
          <w:tcPr>
            <w:tcW w:w="1355" w:type="dxa"/>
            <w:tcBorders>
              <w:bottom w:val="double" w:sz="4" w:space="0" w:color="000000"/>
            </w:tcBorders>
            <w:tcMar>
              <w:top w:w="0" w:type="dxa"/>
              <w:left w:w="0" w:type="dxa"/>
              <w:right w:w="0" w:type="dxa"/>
            </w:tcMar>
            <w:vAlign w:val="center"/>
          </w:tcPr>
          <w:p>
            <w:pPr>
              <w:pStyle w:val="TableContents"/>
              <w:bidi w:val="0"/>
              <w:spacing w:before="111" w:after="283"/>
              <w:jc w:val="right"/>
              <w:rPr>
                <w:rFonts w:ascii="sans-serif" w:hAnsi="sans-serif"/>
                <w:color w:val="000000"/>
                <w:sz w:val="18"/>
              </w:rPr>
            </w:pPr>
            <w:r>
              <w:rPr>
                <w:rFonts w:ascii="sans-serif" w:hAnsi="sans-serif"/>
                <w:color w:val="000000"/>
                <w:sz w:val="18"/>
              </w:rPr>
              <w:t>$10,716,849</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385" w:type="dxa"/>
            <w:tcBorders>
              <w:bottom w:val="double" w:sz="4" w:space="0" w:color="000000"/>
            </w:tcBorders>
            <w:tcMar>
              <w:top w:w="0" w:type="dxa"/>
              <w:left w:w="0" w:type="dxa"/>
              <w:right w:w="0" w:type="dxa"/>
            </w:tcMar>
            <w:vAlign w:val="center"/>
          </w:tcPr>
          <w:p>
            <w:pPr>
              <w:pStyle w:val="TableContents"/>
              <w:bidi w:val="0"/>
              <w:spacing w:before="111" w:after="283"/>
              <w:jc w:val="right"/>
              <w:rPr>
                <w:rFonts w:ascii="sans-serif" w:hAnsi="sans-serif"/>
                <w:color w:val="000000"/>
                <w:sz w:val="18"/>
              </w:rPr>
            </w:pPr>
            <w:r>
              <w:rPr>
                <w:rFonts w:ascii="sans-serif" w:hAnsi="sans-serif"/>
                <w:color w:val="000000"/>
                <w:sz w:val="18"/>
              </w:rPr>
              <w:t>$11,675,988</w:t>
            </w:r>
          </w:p>
        </w:tc>
      </w:tr>
      <w:tr>
        <w:trPr/>
        <w:tc>
          <w:tcPr>
            <w:tcW w:w="8674" w:type="dxa"/>
            <w:gridSpan w:val="2"/>
            <w:tcBorders/>
            <w:tcMar>
              <w:top w:w="0" w:type="dxa"/>
              <w:left w:w="0" w:type="dxa"/>
              <w:bottom w:w="0" w:type="dxa"/>
              <w:right w:w="0" w:type="dxa"/>
            </w:tcMar>
            <w:vAlign w:val="center"/>
          </w:tcPr>
          <w:p>
            <w:pPr>
              <w:pStyle w:val="TableContents"/>
              <w:bidi w:val="0"/>
              <w:spacing w:before="107" w:after="283"/>
              <w:jc w:val="left"/>
              <w:rPr/>
            </w:pPr>
            <w:r>
              <w:rPr/>
              <w:t> </w:t>
            </w:r>
          </w:p>
          <w:p>
            <w:pPr>
              <w:pStyle w:val="TableContents"/>
              <w:bidi w:val="0"/>
              <w:spacing w:before="0" w:after="283"/>
              <w:jc w:val="left"/>
              <w:rPr>
                <w:rFonts w:ascii="sans-serif" w:hAnsi="sans-serif"/>
                <w:color w:val="000000"/>
                <w:sz w:val="18"/>
              </w:rPr>
            </w:pPr>
            <w:r>
              <w:rPr>
                <w:rFonts w:ascii="sans-serif" w:hAnsi="sans-serif"/>
                <w:color w:val="000000"/>
                <w:sz w:val="18"/>
              </w:rPr>
              <w:t>The accompanying notes are an integral part of these combined and consolidated 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59" w:after="283"/>
        <w:jc w:val="left"/>
        <w:rPr>
          <w:rFonts w:ascii="sans-serif" w:hAnsi="sans-serif"/>
          <w:b/>
          <w:color w:val="000000"/>
          <w:sz w:val="23"/>
        </w:rPr>
      </w:pPr>
      <w:r>
        <w:rPr>
          <w:rFonts w:ascii="sans-serif" w:hAnsi="sans-serif"/>
          <w:b/>
          <w:color w:val="000000"/>
          <w:sz w:val="23"/>
        </w:rPr>
        <w:t>KUBRA HOLDINGS, INC. AND SUBSIDIARIES, AND KUBRA DATA TRANSFER LTD.</w:t>
      </w:r>
    </w:p>
    <w:p>
      <w:pPr>
        <w:pStyle w:val="TextBody"/>
        <w:bidi w:val="0"/>
        <w:spacing w:before="240" w:after="283"/>
        <w:jc w:val="left"/>
        <w:rPr>
          <w:rFonts w:ascii="sans-serif" w:hAnsi="sans-serif"/>
          <w:b/>
          <w:color w:val="000000"/>
          <w:sz w:val="23"/>
        </w:rPr>
      </w:pPr>
      <w:r>
        <w:rPr>
          <w:rFonts w:ascii="sans-serif" w:hAnsi="sans-serif"/>
          <w:b/>
          <w:color w:val="000000"/>
          <w:sz w:val="23"/>
        </w:rPr>
        <w:t>COMBINED AND CONSOLIDATED STATEMENTS OF STOCKHOLDERS’ EQUITY FOR THE YEARS ENDED DECEMBER 31, 2025 AND 2024</w:t>
      </w:r>
    </w:p>
    <w:p>
      <w:pPr>
        <w:pStyle w:val="TextBody"/>
        <w:bidi w:val="0"/>
        <w:jc w:val="left"/>
        <w:rPr/>
      </w:pPr>
      <w:r>
        <w:rPr/>
        <w:t> </w:t>
      </w:r>
    </w:p>
    <w:tbl>
      <w:tblPr>
        <w:tblW w:w="11047" w:type="dxa"/>
        <w:jc w:val="left"/>
        <w:tblInd w:w="0" w:type="dxa"/>
        <w:tblLayout w:type="fixed"/>
        <w:tblCellMar>
          <w:top w:w="28" w:type="dxa"/>
          <w:left w:w="28" w:type="dxa"/>
          <w:bottom w:w="28" w:type="dxa"/>
          <w:right w:w="28" w:type="dxa"/>
        </w:tblCellMar>
      </w:tblPr>
      <w:tblGrid>
        <w:gridCol w:w="1611"/>
        <w:gridCol w:w="1827"/>
        <w:gridCol w:w="150"/>
        <w:gridCol w:w="1426"/>
        <w:gridCol w:w="1417"/>
        <w:gridCol w:w="280"/>
        <w:gridCol w:w="1830"/>
        <w:gridCol w:w="895"/>
        <w:gridCol w:w="1611"/>
      </w:tblGrid>
      <w:tr>
        <w:trPr/>
        <w:tc>
          <w:tcPr>
            <w:tcW w:w="161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1611" w:type="dxa"/>
            <w:tcBorders/>
            <w:tcMar>
              <w:top w:w="0" w:type="dxa"/>
              <w:left w:w="0" w:type="dxa"/>
              <w:bottom w:w="0" w:type="dxa"/>
              <w:right w:w="0" w:type="dxa"/>
            </w:tcMar>
            <w:vAlign w:val="center"/>
          </w:tcPr>
          <w:p>
            <w:pPr>
              <w:pStyle w:val="TableContents"/>
              <w:bidi w:val="0"/>
              <w:spacing w:before="0" w:after="283"/>
              <w:ind w:left="0" w:right="0" w:firstLine="821"/>
              <w:jc w:val="left"/>
              <w:rPr/>
            </w:pPr>
            <w:r>
              <w:rPr/>
              <w:t> </w:t>
            </w:r>
          </w:p>
        </w:tc>
        <w:tc>
          <w:tcPr>
            <w:tcW w:w="1827" w:type="dxa"/>
            <w:tcBorders/>
            <w:tcMar>
              <w:top w:w="0" w:type="dxa"/>
              <w:left w:w="0" w:type="dxa"/>
              <w:bottom w:w="0" w:type="dxa"/>
              <w:right w:w="0" w:type="dxa"/>
            </w:tcMar>
            <w:vAlign w:val="center"/>
          </w:tcPr>
          <w:p>
            <w:pPr>
              <w:pStyle w:val="TableContents"/>
              <w:bidi w:val="0"/>
              <w:spacing w:before="0" w:after="283"/>
              <w:ind w:left="0" w:right="0" w:firstLine="821"/>
              <w:jc w:val="center"/>
              <w:rPr>
                <w:rFonts w:ascii="sans-serif" w:hAnsi="sans-serif"/>
                <w:b/>
                <w:color w:val="000000"/>
                <w:sz w:val="18"/>
              </w:rPr>
            </w:pPr>
            <w:r>
              <w:rPr>
                <w:rFonts w:ascii="sans-serif" w:hAnsi="sans-serif"/>
                <w:b/>
                <w:color w:val="000000"/>
                <w:sz w:val="18"/>
              </w:rPr>
              <w:t>Common Stock</w:t>
            </w:r>
          </w:p>
        </w:tc>
        <w:tc>
          <w:tcPr>
            <w:tcW w:w="150" w:type="dxa"/>
            <w:tcBorders/>
            <w:tcMar>
              <w:top w:w="0" w:type="dxa"/>
              <w:left w:w="0" w:type="dxa"/>
              <w:bottom w:w="0" w:type="dxa"/>
              <w:right w:w="0" w:type="dxa"/>
            </w:tcMar>
            <w:vAlign w:val="center"/>
          </w:tcPr>
          <w:p>
            <w:pPr>
              <w:pStyle w:val="TableContents"/>
              <w:bidi w:val="0"/>
              <w:spacing w:before="0" w:after="283"/>
              <w:ind w:left="0" w:right="0" w:firstLine="4"/>
              <w:jc w:val="center"/>
              <w:rPr/>
            </w:pPr>
            <w:r>
              <w:rPr/>
              <w:t> </w:t>
            </w:r>
          </w:p>
        </w:tc>
        <w:tc>
          <w:tcPr>
            <w:tcW w:w="1426" w:type="dxa"/>
            <w:tcBorders/>
            <w:tcMar>
              <w:top w:w="0" w:type="dxa"/>
              <w:left w:w="0" w:type="dxa"/>
              <w:bottom w:w="0" w:type="dxa"/>
              <w:right w:w="0" w:type="dxa"/>
            </w:tcMar>
            <w:vAlign w:val="center"/>
          </w:tcPr>
          <w:p>
            <w:pPr>
              <w:pStyle w:val="TableContents"/>
              <w:bidi w:val="0"/>
              <w:ind w:left="0" w:right="0" w:firstLine="4"/>
              <w:jc w:val="center"/>
              <w:rPr>
                <w:rFonts w:ascii="sans-serif" w:hAnsi="sans-serif"/>
                <w:b/>
                <w:color w:val="000000"/>
                <w:sz w:val="18"/>
              </w:rPr>
            </w:pPr>
            <w:r>
              <w:rPr>
                <w:rFonts w:ascii="sans-serif" w:hAnsi="sans-serif"/>
                <w:b/>
                <w:color w:val="000000"/>
                <w:sz w:val="18"/>
              </w:rPr>
              <w:t>Additional Paid-in</w:t>
            </w:r>
          </w:p>
          <w:p>
            <w:pPr>
              <w:pStyle w:val="TableContents"/>
              <w:bidi w:val="0"/>
              <w:spacing w:before="1" w:after="283"/>
              <w:ind w:left="0" w:right="0" w:firstLine="396"/>
              <w:jc w:val="center"/>
              <w:rPr>
                <w:rFonts w:ascii="sans-serif" w:hAnsi="sans-serif"/>
                <w:b/>
                <w:color w:val="000000"/>
                <w:sz w:val="18"/>
              </w:rPr>
            </w:pPr>
            <w:r>
              <w:rPr>
                <w:rFonts w:ascii="sans-serif" w:hAnsi="sans-serif"/>
                <w:b/>
                <w:color w:val="000000"/>
                <w:sz w:val="18"/>
              </w:rPr>
              <w:t>Capital</w:t>
            </w:r>
          </w:p>
        </w:tc>
        <w:tc>
          <w:tcPr>
            <w:tcW w:w="1417" w:type="dxa"/>
            <w:tcBorders/>
            <w:tcMar>
              <w:top w:w="0" w:type="dxa"/>
              <w:left w:w="0" w:type="dxa"/>
              <w:bottom w:w="0" w:type="dxa"/>
              <w:right w:w="0" w:type="dxa"/>
            </w:tcMar>
            <w:vAlign w:val="center"/>
          </w:tcPr>
          <w:p>
            <w:pPr>
              <w:pStyle w:val="TableContents"/>
              <w:bidi w:val="0"/>
              <w:spacing w:before="184" w:after="283"/>
              <w:ind w:left="0" w:right="0" w:firstLine="396"/>
              <w:jc w:val="center"/>
              <w:rPr>
                <w:rFonts w:ascii="sans-serif" w:hAnsi="sans-serif"/>
                <w:b/>
                <w:color w:val="000000"/>
                <w:sz w:val="18"/>
              </w:rPr>
            </w:pPr>
            <w:r>
              <w:rPr>
                <w:rFonts w:ascii="sans-serif" w:hAnsi="sans-serif"/>
                <w:b/>
                <w:color w:val="000000"/>
                <w:sz w:val="18"/>
              </w:rPr>
              <w:t>Retained Earnings</w:t>
            </w:r>
          </w:p>
        </w:tc>
        <w:tc>
          <w:tcPr>
            <w:tcW w:w="280" w:type="dxa"/>
            <w:tcBorders/>
            <w:tcMar>
              <w:top w:w="0" w:type="dxa"/>
              <w:left w:w="0" w:type="dxa"/>
              <w:bottom w:w="0" w:type="dxa"/>
              <w:right w:w="0" w:type="dxa"/>
            </w:tcMar>
            <w:vAlign w:val="center"/>
          </w:tcPr>
          <w:p>
            <w:pPr>
              <w:pStyle w:val="TableContents"/>
              <w:bidi w:val="0"/>
              <w:spacing w:before="0" w:after="283"/>
              <w:ind w:left="0" w:right="0" w:firstLine="134"/>
              <w:jc w:val="center"/>
              <w:rPr/>
            </w:pPr>
            <w:r>
              <w:rPr/>
              <w:t> </w:t>
            </w:r>
          </w:p>
        </w:tc>
        <w:tc>
          <w:tcPr>
            <w:tcW w:w="1830" w:type="dxa"/>
            <w:tcBorders/>
            <w:tcMar>
              <w:top w:w="0" w:type="dxa"/>
              <w:left w:w="0" w:type="dxa"/>
              <w:bottom w:w="0" w:type="dxa"/>
              <w:right w:w="0" w:type="dxa"/>
            </w:tcMar>
            <w:vAlign w:val="center"/>
          </w:tcPr>
          <w:p>
            <w:pPr>
              <w:pStyle w:val="TableContents"/>
              <w:bidi w:val="0"/>
              <w:spacing w:before="27" w:after="283"/>
              <w:ind w:left="0" w:right="0" w:firstLine="134"/>
              <w:jc w:val="center"/>
              <w:rPr>
                <w:rFonts w:ascii="sans-serif" w:hAnsi="sans-serif"/>
                <w:b/>
                <w:color w:val="000000"/>
                <w:sz w:val="18"/>
              </w:rPr>
            </w:pPr>
            <w:r>
              <w:rPr>
                <w:rFonts w:ascii="sans-serif" w:hAnsi="sans-serif"/>
                <w:b/>
                <w:color w:val="000000"/>
                <w:sz w:val="18"/>
              </w:rPr>
              <w:t>Accumulated Other Comprehensive Income (Loss)</w:t>
            </w:r>
          </w:p>
        </w:tc>
        <w:tc>
          <w:tcPr>
            <w:tcW w:w="895" w:type="dxa"/>
            <w:tcBorders/>
            <w:tcMar>
              <w:top w:w="0" w:type="dxa"/>
              <w:left w:w="0" w:type="dxa"/>
              <w:bottom w:w="0" w:type="dxa"/>
              <w:right w:w="0" w:type="dxa"/>
            </w:tcMar>
            <w:vAlign w:val="center"/>
          </w:tcPr>
          <w:p>
            <w:pPr>
              <w:pStyle w:val="TableContents"/>
              <w:bidi w:val="0"/>
              <w:spacing w:before="0" w:after="283"/>
              <w:ind w:left="0" w:right="0" w:firstLine="749"/>
              <w:jc w:val="center"/>
              <w:rPr/>
            </w:pPr>
            <w:r>
              <w:rPr/>
              <w:t> </w:t>
            </w:r>
          </w:p>
        </w:tc>
        <w:tc>
          <w:tcPr>
            <w:tcW w:w="1611" w:type="dxa"/>
            <w:tcBorders/>
            <w:tcMar>
              <w:top w:w="0" w:type="dxa"/>
              <w:left w:w="0" w:type="dxa"/>
              <w:bottom w:w="0" w:type="dxa"/>
              <w:right w:w="0" w:type="dxa"/>
            </w:tcMar>
            <w:vAlign w:val="center"/>
          </w:tcPr>
          <w:p>
            <w:pPr>
              <w:pStyle w:val="TableContents"/>
              <w:bidi w:val="0"/>
              <w:spacing w:before="184" w:after="283"/>
              <w:ind w:left="0" w:right="0" w:firstLine="50"/>
              <w:jc w:val="center"/>
              <w:rPr>
                <w:rFonts w:ascii="sans-serif" w:hAnsi="sans-serif"/>
                <w:b/>
                <w:color w:val="000000"/>
                <w:sz w:val="18"/>
              </w:rPr>
            </w:pPr>
            <w:r>
              <w:rPr>
                <w:rFonts w:ascii="sans-serif" w:hAnsi="sans-serif"/>
                <w:b/>
                <w:color w:val="000000"/>
                <w:sz w:val="18"/>
              </w:rPr>
              <w:t>Total Stockholders’ Equity</w:t>
            </w:r>
          </w:p>
        </w:tc>
      </w:tr>
      <w:tr>
        <w:trPr/>
        <w:tc>
          <w:tcPr>
            <w:tcW w:w="1611" w:type="dxa"/>
            <w:tcBorders/>
            <w:tcMar>
              <w:top w:w="0" w:type="dxa"/>
              <w:left w:w="0" w:type="dxa"/>
              <w:bottom w:w="0" w:type="dxa"/>
              <w:right w:w="0" w:type="dxa"/>
            </w:tcMar>
            <w:vAlign w:val="center"/>
          </w:tcPr>
          <w:p>
            <w:pPr>
              <w:pStyle w:val="TableContents"/>
              <w:bidi w:val="0"/>
              <w:spacing w:before="166" w:after="283"/>
              <w:ind w:left="0" w:right="0" w:firstLine="50"/>
              <w:jc w:val="left"/>
              <w:rPr>
                <w:rFonts w:ascii="sans-serif" w:hAnsi="sans-serif"/>
                <w:color w:val="000000"/>
                <w:sz w:val="18"/>
              </w:rPr>
            </w:pPr>
            <w:r>
              <w:rPr>
                <w:rFonts w:ascii="sans-serif" w:hAnsi="sans-serif"/>
                <w:color w:val="000000"/>
                <w:sz w:val="18"/>
              </w:rPr>
              <w:t>BALANCE – January 1, 2024</w:t>
            </w:r>
          </w:p>
        </w:tc>
        <w:tc>
          <w:tcPr>
            <w:tcW w:w="1827" w:type="dxa"/>
            <w:tcBorders/>
            <w:tcMar>
              <w:top w:w="0" w:type="dxa"/>
              <w:left w:w="0" w:type="dxa"/>
              <w:bottom w:w="0" w:type="dxa"/>
              <w:right w:w="0" w:type="dxa"/>
            </w:tcMar>
            <w:vAlign w:val="center"/>
          </w:tcPr>
          <w:p>
            <w:pPr>
              <w:pStyle w:val="TableContents"/>
              <w:bidi w:val="0"/>
              <w:spacing w:before="195" w:after="283"/>
              <w:jc w:val="right"/>
              <w:rPr>
                <w:rFonts w:ascii="sans-serif" w:hAnsi="sans-serif"/>
                <w:color w:val="000000"/>
                <w:sz w:val="18"/>
              </w:rPr>
            </w:pPr>
            <w:r>
              <w:rPr>
                <w:rFonts w:ascii="sans-serif" w:hAnsi="sans-serif"/>
                <w:color w:val="000000"/>
                <w:sz w:val="18"/>
              </w:rPr>
              <w:t>$3,913</w:t>
            </w:r>
          </w:p>
        </w:tc>
        <w:tc>
          <w:tcPr>
            <w:tcW w:w="15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tcMar>
              <w:top w:w="0" w:type="dxa"/>
              <w:left w:w="0" w:type="dxa"/>
              <w:bottom w:w="0" w:type="dxa"/>
              <w:right w:w="0" w:type="dxa"/>
            </w:tcMar>
            <w:vAlign w:val="center"/>
          </w:tcPr>
          <w:p>
            <w:pPr>
              <w:pStyle w:val="TableContents"/>
              <w:bidi w:val="0"/>
              <w:spacing w:before="195" w:after="283"/>
              <w:jc w:val="right"/>
              <w:rPr>
                <w:rFonts w:ascii="sans-serif" w:hAnsi="sans-serif"/>
                <w:color w:val="000000"/>
                <w:sz w:val="18"/>
              </w:rPr>
            </w:pPr>
            <w:r>
              <w:rPr>
                <w:rFonts w:ascii="sans-serif" w:hAnsi="sans-serif"/>
                <w:color w:val="000000"/>
                <w:sz w:val="18"/>
              </w:rPr>
              <w:t>$151,115,587</w:t>
            </w:r>
          </w:p>
        </w:tc>
        <w:tc>
          <w:tcPr>
            <w:tcW w:w="1417" w:type="dxa"/>
            <w:tcBorders/>
            <w:tcMar>
              <w:top w:w="0" w:type="dxa"/>
              <w:left w:w="0" w:type="dxa"/>
              <w:bottom w:w="0" w:type="dxa"/>
              <w:right w:w="0" w:type="dxa"/>
            </w:tcMar>
            <w:vAlign w:val="center"/>
          </w:tcPr>
          <w:p>
            <w:pPr>
              <w:pStyle w:val="TableContents"/>
              <w:bidi w:val="0"/>
              <w:spacing w:before="195" w:after="283"/>
              <w:jc w:val="right"/>
              <w:rPr>
                <w:rFonts w:ascii="sans-serif" w:hAnsi="sans-serif"/>
                <w:color w:val="000000"/>
                <w:sz w:val="18"/>
              </w:rPr>
            </w:pPr>
            <w:r>
              <w:rPr>
                <w:rFonts w:ascii="sans-serif" w:hAnsi="sans-serif"/>
                <w:color w:val="000000"/>
                <w:sz w:val="18"/>
              </w:rPr>
              <w:t>$76,733,714</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830" w:type="dxa"/>
            <w:tcBorders/>
            <w:tcMar>
              <w:top w:w="0" w:type="dxa"/>
              <w:left w:w="0" w:type="dxa"/>
              <w:bottom w:w="0" w:type="dxa"/>
              <w:right w:w="0" w:type="dxa"/>
            </w:tcMar>
            <w:vAlign w:val="center"/>
          </w:tcPr>
          <w:p>
            <w:pPr>
              <w:pStyle w:val="TableContents"/>
              <w:bidi w:val="0"/>
              <w:spacing w:before="195" w:after="283"/>
              <w:jc w:val="right"/>
              <w:rPr>
                <w:rFonts w:ascii="sans-serif" w:hAnsi="sans-serif"/>
                <w:color w:val="000000"/>
                <w:sz w:val="18"/>
              </w:rPr>
            </w:pPr>
            <w:r>
              <w:rPr>
                <w:rFonts w:ascii="sans-serif" w:hAnsi="sans-serif"/>
                <w:color w:val="000000"/>
                <w:sz w:val="18"/>
              </w:rPr>
              <w:t>$7,402,013</w:t>
            </w:r>
          </w:p>
        </w:tc>
        <w:tc>
          <w:tcPr>
            <w:tcW w:w="8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tcMar>
              <w:top w:w="0" w:type="dxa"/>
              <w:left w:w="0" w:type="dxa"/>
              <w:bottom w:w="0" w:type="dxa"/>
              <w:right w:w="0" w:type="dxa"/>
            </w:tcMar>
            <w:vAlign w:val="center"/>
          </w:tcPr>
          <w:p>
            <w:pPr>
              <w:pStyle w:val="TableContents"/>
              <w:bidi w:val="0"/>
              <w:spacing w:before="195" w:after="283"/>
              <w:ind w:left="0" w:right="0" w:firstLine="110"/>
              <w:jc w:val="right"/>
              <w:rPr>
                <w:rFonts w:ascii="sans-serif" w:hAnsi="sans-serif"/>
                <w:color w:val="000000"/>
                <w:sz w:val="18"/>
              </w:rPr>
            </w:pPr>
            <w:r>
              <w:rPr>
                <w:rFonts w:ascii="sans-serif" w:hAnsi="sans-serif"/>
                <w:color w:val="000000"/>
                <w:sz w:val="18"/>
              </w:rPr>
              <w:t>$235,255,227</w:t>
            </w:r>
          </w:p>
        </w:tc>
      </w:tr>
      <w:tr>
        <w:trPr/>
        <w:tc>
          <w:tcPr>
            <w:tcW w:w="1611" w:type="dxa"/>
            <w:tcBorders/>
            <w:tcMar>
              <w:top w:w="0" w:type="dxa"/>
              <w:left w:w="0" w:type="dxa"/>
              <w:bottom w:w="0" w:type="dxa"/>
              <w:right w:w="0" w:type="dxa"/>
            </w:tcMar>
            <w:vAlign w:val="center"/>
          </w:tcPr>
          <w:p>
            <w:pPr>
              <w:pStyle w:val="TableContents"/>
              <w:bidi w:val="0"/>
              <w:spacing w:before="2" w:after="283"/>
              <w:ind w:left="0" w:right="0" w:firstLine="110"/>
              <w:jc w:val="left"/>
              <w:rPr>
                <w:rFonts w:ascii="sans-serif" w:hAnsi="sans-serif"/>
                <w:color w:val="000000"/>
                <w:sz w:val="18"/>
              </w:rPr>
            </w:pPr>
            <w:r>
              <w:rPr>
                <w:rFonts w:ascii="sans-serif" w:hAnsi="sans-serif"/>
                <w:color w:val="000000"/>
                <w:sz w:val="18"/>
              </w:rPr>
              <w:t>Net income</w:t>
            </w:r>
          </w:p>
        </w:tc>
        <w:tc>
          <w:tcPr>
            <w:tcW w:w="1827" w:type="dxa"/>
            <w:tcBorders/>
            <w:tcMar>
              <w:top w:w="0" w:type="dxa"/>
              <w:left w:w="0" w:type="dxa"/>
              <w:bottom w:w="0" w:type="dxa"/>
              <w:right w:w="0" w:type="dxa"/>
            </w:tcMar>
            <w:vAlign w:val="center"/>
          </w:tcPr>
          <w:p>
            <w:pPr>
              <w:pStyle w:val="TableContents"/>
              <w:bidi w:val="0"/>
              <w:spacing w:before="9" w:after="283"/>
              <w:jc w:val="right"/>
              <w:rPr>
                <w:rFonts w:ascii="sans-serif" w:hAnsi="sans-serif"/>
                <w:color w:val="000000"/>
                <w:sz w:val="18"/>
              </w:rPr>
            </w:pPr>
            <w:r>
              <w:rPr>
                <w:rFonts w:ascii="sans-serif" w:hAnsi="sans-serif"/>
                <w:color w:val="000000"/>
                <w:sz w:val="18"/>
              </w:rPr>
              <w:t>-</w:t>
            </w:r>
          </w:p>
        </w:tc>
        <w:tc>
          <w:tcPr>
            <w:tcW w:w="15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tcMar>
              <w:top w:w="0" w:type="dxa"/>
              <w:left w:w="0" w:type="dxa"/>
              <w:bottom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w:t>
            </w:r>
          </w:p>
        </w:tc>
        <w:tc>
          <w:tcPr>
            <w:tcW w:w="1417" w:type="dxa"/>
            <w:tcBorders/>
            <w:tcMar>
              <w:top w:w="0" w:type="dxa"/>
              <w:left w:w="0" w:type="dxa"/>
              <w:bottom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11,332,236</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830" w:type="dxa"/>
            <w:tcBorders/>
            <w:tcMar>
              <w:top w:w="0" w:type="dxa"/>
              <w:left w:w="0" w:type="dxa"/>
              <w:bottom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w:t>
            </w:r>
          </w:p>
        </w:tc>
        <w:tc>
          <w:tcPr>
            <w:tcW w:w="8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tcMar>
              <w:top w:w="0" w:type="dxa"/>
              <w:left w:w="0" w:type="dxa"/>
              <w:bottom w:w="0" w:type="dxa"/>
              <w:right w:w="0" w:type="dxa"/>
            </w:tcMar>
            <w:vAlign w:val="center"/>
          </w:tcPr>
          <w:p>
            <w:pPr>
              <w:pStyle w:val="TableContents"/>
              <w:bidi w:val="0"/>
              <w:spacing w:before="31" w:after="283"/>
              <w:ind w:left="0" w:right="0" w:firstLine="110"/>
              <w:jc w:val="right"/>
              <w:rPr>
                <w:rFonts w:ascii="sans-serif" w:hAnsi="sans-serif"/>
                <w:color w:val="000000"/>
                <w:sz w:val="18"/>
              </w:rPr>
            </w:pPr>
            <w:r>
              <w:rPr>
                <w:rFonts w:ascii="sans-serif" w:hAnsi="sans-serif"/>
                <w:color w:val="000000"/>
                <w:sz w:val="18"/>
              </w:rPr>
              <w:t>11,332,236</w:t>
            </w:r>
          </w:p>
        </w:tc>
      </w:tr>
      <w:tr>
        <w:trPr/>
        <w:tc>
          <w:tcPr>
            <w:tcW w:w="1611" w:type="dxa"/>
            <w:tcBorders/>
            <w:tcMar>
              <w:top w:w="0" w:type="dxa"/>
              <w:left w:w="0" w:type="dxa"/>
              <w:bottom w:w="0" w:type="dxa"/>
              <w:right w:w="0" w:type="dxa"/>
            </w:tcMar>
            <w:vAlign w:val="center"/>
          </w:tcPr>
          <w:p>
            <w:pPr>
              <w:pStyle w:val="TableContents"/>
              <w:bidi w:val="0"/>
              <w:spacing w:before="2" w:after="283"/>
              <w:ind w:left="0" w:right="0" w:firstLine="110"/>
              <w:jc w:val="left"/>
              <w:rPr>
                <w:rFonts w:ascii="sans-serif" w:hAnsi="sans-serif"/>
                <w:color w:val="000000"/>
                <w:sz w:val="18"/>
              </w:rPr>
            </w:pPr>
            <w:r>
              <w:rPr>
                <w:rFonts w:ascii="sans-serif" w:hAnsi="sans-serif"/>
                <w:color w:val="000000"/>
                <w:sz w:val="18"/>
              </w:rPr>
              <w:t>Other comprehensive income</w:t>
            </w:r>
          </w:p>
        </w:tc>
        <w:tc>
          <w:tcPr>
            <w:tcW w:w="1827" w:type="dxa"/>
            <w:tcBorders>
              <w:bottom w:val="single" w:sz="4" w:space="0" w:color="000000"/>
            </w:tcBorders>
            <w:tcMar>
              <w:top w:w="0" w:type="dxa"/>
              <w:left w:w="0" w:type="dxa"/>
              <w:right w:w="0" w:type="dxa"/>
            </w:tcMar>
            <w:vAlign w:val="center"/>
          </w:tcPr>
          <w:p>
            <w:pPr>
              <w:pStyle w:val="TableContents"/>
              <w:bidi w:val="0"/>
              <w:spacing w:before="7" w:after="283"/>
              <w:jc w:val="right"/>
              <w:rPr>
                <w:rFonts w:ascii="sans-serif" w:hAnsi="sans-serif"/>
                <w:color w:val="000000"/>
                <w:sz w:val="18"/>
              </w:rPr>
            </w:pPr>
            <w:r>
              <w:rPr>
                <w:rFonts w:ascii="sans-serif" w:hAnsi="sans-serif"/>
                <w:color w:val="000000"/>
                <w:sz w:val="18"/>
              </w:rPr>
              <w:t>-</w:t>
            </w:r>
          </w:p>
        </w:tc>
        <w:tc>
          <w:tcPr>
            <w:tcW w:w="15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w:t>
            </w:r>
          </w:p>
        </w:tc>
        <w:tc>
          <w:tcPr>
            <w:tcW w:w="1417" w:type="dxa"/>
            <w:tcBorders>
              <w:bottom w:val="single" w:sz="4" w:space="0" w:color="000000"/>
            </w:tcBorders>
            <w:tcMar>
              <w:top w:w="0" w:type="dxa"/>
              <w:left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w:t>
            </w:r>
          </w:p>
        </w:tc>
        <w:tc>
          <w:tcPr>
            <w:tcW w:w="28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830" w:type="dxa"/>
            <w:tcBorders>
              <w:bottom w:val="single" w:sz="4" w:space="0" w:color="000000"/>
            </w:tcBorders>
            <w:tcMar>
              <w:top w:w="0" w:type="dxa"/>
              <w:left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343,752</w:t>
            </w:r>
          </w:p>
        </w:tc>
        <w:tc>
          <w:tcPr>
            <w:tcW w:w="89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11" w:type="dxa"/>
            <w:tcBorders>
              <w:bottom w:val="single" w:sz="4" w:space="0" w:color="000000"/>
            </w:tcBorders>
            <w:tcMar>
              <w:top w:w="0" w:type="dxa"/>
              <w:left w:w="0" w:type="dxa"/>
              <w:right w:w="0" w:type="dxa"/>
            </w:tcMar>
            <w:vAlign w:val="center"/>
          </w:tcPr>
          <w:p>
            <w:pPr>
              <w:pStyle w:val="TableContents"/>
              <w:bidi w:val="0"/>
              <w:spacing w:before="31" w:after="283"/>
              <w:ind w:left="0" w:right="0" w:firstLine="50"/>
              <w:jc w:val="right"/>
              <w:rPr>
                <w:rFonts w:ascii="sans-serif" w:hAnsi="sans-serif"/>
                <w:color w:val="000000"/>
                <w:sz w:val="18"/>
              </w:rPr>
            </w:pPr>
            <w:r>
              <w:rPr>
                <w:rFonts w:ascii="sans-serif" w:hAnsi="sans-serif"/>
                <w:color w:val="000000"/>
                <w:sz w:val="18"/>
              </w:rPr>
              <w:t>343,752</w:t>
            </w:r>
          </w:p>
        </w:tc>
      </w:tr>
      <w:tr>
        <w:trPr/>
        <w:tc>
          <w:tcPr>
            <w:tcW w:w="1611" w:type="dxa"/>
            <w:tcBorders/>
            <w:tcMar>
              <w:top w:w="0" w:type="dxa"/>
              <w:left w:w="0" w:type="dxa"/>
              <w:bottom w:w="0" w:type="dxa"/>
              <w:right w:w="0" w:type="dxa"/>
            </w:tcMar>
            <w:vAlign w:val="center"/>
          </w:tcPr>
          <w:p>
            <w:pPr>
              <w:pStyle w:val="TableContents"/>
              <w:bidi w:val="0"/>
              <w:spacing w:before="27" w:after="283"/>
              <w:ind w:left="0" w:right="0" w:firstLine="50"/>
              <w:jc w:val="left"/>
              <w:rPr>
                <w:rFonts w:ascii="sans-serif" w:hAnsi="sans-serif"/>
                <w:color w:val="000000"/>
                <w:sz w:val="18"/>
              </w:rPr>
            </w:pPr>
            <w:r>
              <w:rPr>
                <w:rFonts w:ascii="sans-serif" w:hAnsi="sans-serif"/>
                <w:color w:val="000000"/>
                <w:sz w:val="18"/>
              </w:rPr>
              <w:t>BALANCE - December 31, 2024</w:t>
            </w:r>
          </w:p>
        </w:tc>
        <w:tc>
          <w:tcPr>
            <w:tcW w:w="1827" w:type="dxa"/>
            <w:tcBorders/>
            <w:tcMar>
              <w:top w:w="0" w:type="dxa"/>
              <w:left w:w="0" w:type="dxa"/>
              <w:bottom w:w="0" w:type="dxa"/>
              <w:right w:w="0" w:type="dxa"/>
            </w:tcMar>
            <w:vAlign w:val="center"/>
          </w:tcPr>
          <w:p>
            <w:pPr>
              <w:pStyle w:val="TableContents"/>
              <w:bidi w:val="0"/>
              <w:spacing w:before="56" w:after="283"/>
              <w:jc w:val="right"/>
              <w:rPr>
                <w:rFonts w:ascii="sans-serif" w:hAnsi="sans-serif"/>
                <w:color w:val="000000"/>
                <w:sz w:val="18"/>
              </w:rPr>
            </w:pPr>
            <w:r>
              <w:rPr>
                <w:rFonts w:ascii="sans-serif" w:hAnsi="sans-serif"/>
                <w:color w:val="000000"/>
                <w:sz w:val="18"/>
              </w:rPr>
              <w:t>3,913</w:t>
            </w:r>
          </w:p>
        </w:tc>
        <w:tc>
          <w:tcPr>
            <w:tcW w:w="15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tcMar>
              <w:top w:w="0" w:type="dxa"/>
              <w:left w:w="0" w:type="dxa"/>
              <w:bottom w:w="0" w:type="dxa"/>
              <w:right w:w="0" w:type="dxa"/>
            </w:tcMar>
            <w:vAlign w:val="center"/>
          </w:tcPr>
          <w:p>
            <w:pPr>
              <w:pStyle w:val="TableContents"/>
              <w:bidi w:val="0"/>
              <w:spacing w:before="56" w:after="283"/>
              <w:jc w:val="right"/>
              <w:rPr>
                <w:rFonts w:ascii="sans-serif" w:hAnsi="sans-serif"/>
                <w:color w:val="000000"/>
                <w:sz w:val="18"/>
              </w:rPr>
            </w:pPr>
            <w:r>
              <w:rPr>
                <w:rFonts w:ascii="sans-serif" w:hAnsi="sans-serif"/>
                <w:color w:val="000000"/>
                <w:sz w:val="18"/>
              </w:rPr>
              <w:t>151,115,587</w:t>
            </w:r>
          </w:p>
        </w:tc>
        <w:tc>
          <w:tcPr>
            <w:tcW w:w="1417" w:type="dxa"/>
            <w:tcBorders/>
            <w:tcMar>
              <w:top w:w="0" w:type="dxa"/>
              <w:left w:w="0" w:type="dxa"/>
              <w:bottom w:w="0" w:type="dxa"/>
              <w:right w:w="0" w:type="dxa"/>
            </w:tcMar>
            <w:vAlign w:val="center"/>
          </w:tcPr>
          <w:p>
            <w:pPr>
              <w:pStyle w:val="TableContents"/>
              <w:bidi w:val="0"/>
              <w:spacing w:before="56" w:after="283"/>
              <w:jc w:val="right"/>
              <w:rPr>
                <w:rFonts w:ascii="sans-serif" w:hAnsi="sans-serif"/>
                <w:color w:val="000000"/>
                <w:sz w:val="18"/>
              </w:rPr>
            </w:pPr>
            <w:r>
              <w:rPr>
                <w:rFonts w:ascii="sans-serif" w:hAnsi="sans-serif"/>
                <w:color w:val="000000"/>
                <w:sz w:val="18"/>
              </w:rPr>
              <w:t>88,065,950</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830" w:type="dxa"/>
            <w:tcBorders/>
            <w:tcMar>
              <w:top w:w="0" w:type="dxa"/>
              <w:left w:w="0" w:type="dxa"/>
              <w:bottom w:w="0" w:type="dxa"/>
              <w:right w:w="0" w:type="dxa"/>
            </w:tcMar>
            <w:vAlign w:val="center"/>
          </w:tcPr>
          <w:p>
            <w:pPr>
              <w:pStyle w:val="TableContents"/>
              <w:bidi w:val="0"/>
              <w:spacing w:before="56" w:after="283"/>
              <w:jc w:val="right"/>
              <w:rPr>
                <w:rFonts w:ascii="sans-serif" w:hAnsi="sans-serif"/>
                <w:color w:val="000000"/>
                <w:sz w:val="18"/>
              </w:rPr>
            </w:pPr>
            <w:r>
              <w:rPr>
                <w:rFonts w:ascii="sans-serif" w:hAnsi="sans-serif"/>
                <w:color w:val="000000"/>
                <w:sz w:val="18"/>
              </w:rPr>
              <w:t>7,745,765</w:t>
            </w:r>
          </w:p>
        </w:tc>
        <w:tc>
          <w:tcPr>
            <w:tcW w:w="8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tcMar>
              <w:top w:w="0" w:type="dxa"/>
              <w:left w:w="0" w:type="dxa"/>
              <w:bottom w:w="0" w:type="dxa"/>
              <w:right w:w="0" w:type="dxa"/>
            </w:tcMar>
            <w:vAlign w:val="center"/>
          </w:tcPr>
          <w:p>
            <w:pPr>
              <w:pStyle w:val="TableContents"/>
              <w:bidi w:val="0"/>
              <w:spacing w:before="56" w:after="283"/>
              <w:ind w:left="0" w:right="0" w:firstLine="110"/>
              <w:jc w:val="right"/>
              <w:rPr>
                <w:rFonts w:ascii="sans-serif" w:hAnsi="sans-serif"/>
                <w:color w:val="000000"/>
                <w:sz w:val="18"/>
              </w:rPr>
            </w:pPr>
            <w:r>
              <w:rPr>
                <w:rFonts w:ascii="sans-serif" w:hAnsi="sans-serif"/>
                <w:color w:val="000000"/>
                <w:sz w:val="18"/>
              </w:rPr>
              <w:t>246,931,215</w:t>
            </w:r>
          </w:p>
        </w:tc>
      </w:tr>
      <w:tr>
        <w:trPr/>
        <w:tc>
          <w:tcPr>
            <w:tcW w:w="1611" w:type="dxa"/>
            <w:tcBorders/>
            <w:tcMar>
              <w:top w:w="0" w:type="dxa"/>
              <w:left w:w="0" w:type="dxa"/>
              <w:bottom w:w="0" w:type="dxa"/>
              <w:right w:w="0" w:type="dxa"/>
            </w:tcMar>
            <w:vAlign w:val="center"/>
          </w:tcPr>
          <w:p>
            <w:pPr>
              <w:pStyle w:val="TableContents"/>
              <w:bidi w:val="0"/>
              <w:spacing w:before="2" w:after="283"/>
              <w:ind w:left="0" w:right="0" w:firstLine="110"/>
              <w:jc w:val="left"/>
              <w:rPr>
                <w:rFonts w:ascii="sans-serif" w:hAnsi="sans-serif"/>
                <w:color w:val="000000"/>
                <w:sz w:val="18"/>
              </w:rPr>
            </w:pPr>
            <w:r>
              <w:rPr>
                <w:rFonts w:ascii="sans-serif" w:hAnsi="sans-serif"/>
                <w:color w:val="000000"/>
                <w:sz w:val="18"/>
              </w:rPr>
              <w:t>Net income</w:t>
            </w:r>
          </w:p>
        </w:tc>
        <w:tc>
          <w:tcPr>
            <w:tcW w:w="1827" w:type="dxa"/>
            <w:tcBorders/>
            <w:tcMar>
              <w:top w:w="0" w:type="dxa"/>
              <w:left w:w="0" w:type="dxa"/>
              <w:bottom w:w="0" w:type="dxa"/>
              <w:right w:w="0" w:type="dxa"/>
            </w:tcMar>
            <w:vAlign w:val="center"/>
          </w:tcPr>
          <w:p>
            <w:pPr>
              <w:pStyle w:val="TableContents"/>
              <w:bidi w:val="0"/>
              <w:spacing w:before="9" w:after="283"/>
              <w:jc w:val="right"/>
              <w:rPr>
                <w:rFonts w:ascii="sans-serif" w:hAnsi="sans-serif"/>
                <w:color w:val="000000"/>
                <w:sz w:val="18"/>
              </w:rPr>
            </w:pPr>
            <w:r>
              <w:rPr>
                <w:rFonts w:ascii="sans-serif" w:hAnsi="sans-serif"/>
                <w:color w:val="000000"/>
                <w:sz w:val="18"/>
              </w:rPr>
              <w:t>-</w:t>
            </w:r>
          </w:p>
        </w:tc>
        <w:tc>
          <w:tcPr>
            <w:tcW w:w="15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tcMar>
              <w:top w:w="0" w:type="dxa"/>
              <w:left w:w="0" w:type="dxa"/>
              <w:bottom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w:t>
            </w:r>
          </w:p>
        </w:tc>
        <w:tc>
          <w:tcPr>
            <w:tcW w:w="1417" w:type="dxa"/>
            <w:tcBorders/>
            <w:tcMar>
              <w:top w:w="0" w:type="dxa"/>
              <w:left w:w="0" w:type="dxa"/>
              <w:bottom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10,805,123</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830" w:type="dxa"/>
            <w:tcBorders/>
            <w:tcMar>
              <w:top w:w="0" w:type="dxa"/>
              <w:left w:w="0" w:type="dxa"/>
              <w:bottom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w:t>
            </w:r>
          </w:p>
        </w:tc>
        <w:tc>
          <w:tcPr>
            <w:tcW w:w="8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tcMar>
              <w:top w:w="0" w:type="dxa"/>
              <w:left w:w="0" w:type="dxa"/>
              <w:bottom w:w="0" w:type="dxa"/>
              <w:right w:w="0" w:type="dxa"/>
            </w:tcMar>
            <w:vAlign w:val="center"/>
          </w:tcPr>
          <w:p>
            <w:pPr>
              <w:pStyle w:val="TableContents"/>
              <w:bidi w:val="0"/>
              <w:spacing w:before="31" w:after="283"/>
              <w:ind w:left="0" w:right="0" w:firstLine="110"/>
              <w:jc w:val="right"/>
              <w:rPr>
                <w:rFonts w:ascii="sans-serif" w:hAnsi="sans-serif"/>
                <w:color w:val="000000"/>
                <w:sz w:val="18"/>
              </w:rPr>
            </w:pPr>
            <w:r>
              <w:rPr>
                <w:rFonts w:ascii="sans-serif" w:hAnsi="sans-serif"/>
                <w:color w:val="000000"/>
                <w:sz w:val="18"/>
              </w:rPr>
              <w:t>10,805,123</w:t>
            </w:r>
          </w:p>
        </w:tc>
      </w:tr>
      <w:tr>
        <w:trPr/>
        <w:tc>
          <w:tcPr>
            <w:tcW w:w="1611" w:type="dxa"/>
            <w:tcBorders/>
            <w:tcMar>
              <w:top w:w="0" w:type="dxa"/>
              <w:left w:w="0" w:type="dxa"/>
              <w:bottom w:w="0" w:type="dxa"/>
              <w:right w:w="0" w:type="dxa"/>
            </w:tcMar>
            <w:vAlign w:val="center"/>
          </w:tcPr>
          <w:p>
            <w:pPr>
              <w:pStyle w:val="TableContents"/>
              <w:bidi w:val="0"/>
              <w:spacing w:before="31" w:after="283"/>
              <w:ind w:left="0" w:right="0" w:firstLine="110"/>
              <w:jc w:val="left"/>
              <w:rPr>
                <w:rFonts w:ascii="sans-serif" w:hAnsi="sans-serif"/>
                <w:color w:val="000000"/>
                <w:sz w:val="18"/>
              </w:rPr>
            </w:pPr>
            <w:r>
              <w:rPr>
                <w:rFonts w:ascii="sans-serif" w:hAnsi="sans-serif"/>
                <w:color w:val="000000"/>
                <w:sz w:val="18"/>
              </w:rPr>
              <w:t>Other comprehensive (loss)</w:t>
            </w:r>
          </w:p>
        </w:tc>
        <w:tc>
          <w:tcPr>
            <w:tcW w:w="1827" w:type="dxa"/>
            <w:tcBorders>
              <w:bottom w:val="single" w:sz="4" w:space="0" w:color="000000"/>
            </w:tcBorders>
            <w:tcMar>
              <w:top w:w="0" w:type="dxa"/>
              <w:left w:w="0" w:type="dxa"/>
              <w:right w:w="0" w:type="dxa"/>
            </w:tcMar>
            <w:vAlign w:val="center"/>
          </w:tcPr>
          <w:p>
            <w:pPr>
              <w:pStyle w:val="TableContents"/>
              <w:bidi w:val="0"/>
              <w:spacing w:before="11" w:after="283"/>
              <w:jc w:val="right"/>
              <w:rPr>
                <w:rFonts w:ascii="sans-serif" w:hAnsi="sans-serif"/>
                <w:color w:val="000000"/>
                <w:sz w:val="18"/>
              </w:rPr>
            </w:pPr>
            <w:r>
              <w:rPr>
                <w:rFonts w:ascii="sans-serif" w:hAnsi="sans-serif"/>
                <w:color w:val="000000"/>
                <w:sz w:val="18"/>
              </w:rPr>
              <w:t>-</w:t>
            </w:r>
          </w:p>
        </w:tc>
        <w:tc>
          <w:tcPr>
            <w:tcW w:w="15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35" w:after="283"/>
              <w:jc w:val="right"/>
              <w:rPr>
                <w:rFonts w:ascii="sans-serif" w:hAnsi="sans-serif"/>
                <w:color w:val="000000"/>
                <w:sz w:val="18"/>
              </w:rPr>
            </w:pPr>
            <w:r>
              <w:rPr>
                <w:rFonts w:ascii="sans-serif" w:hAnsi="sans-serif"/>
                <w:color w:val="000000"/>
                <w:sz w:val="18"/>
              </w:rPr>
              <w:t>-</w:t>
            </w:r>
          </w:p>
        </w:tc>
        <w:tc>
          <w:tcPr>
            <w:tcW w:w="1417" w:type="dxa"/>
            <w:tcBorders>
              <w:bottom w:val="single" w:sz="4" w:space="0" w:color="000000"/>
            </w:tcBorders>
            <w:tcMar>
              <w:top w:w="0" w:type="dxa"/>
              <w:left w:w="0" w:type="dxa"/>
              <w:right w:w="0" w:type="dxa"/>
            </w:tcMar>
            <w:vAlign w:val="center"/>
          </w:tcPr>
          <w:p>
            <w:pPr>
              <w:pStyle w:val="TableContents"/>
              <w:bidi w:val="0"/>
              <w:spacing w:before="35" w:after="283"/>
              <w:jc w:val="right"/>
              <w:rPr>
                <w:rFonts w:ascii="sans-serif" w:hAnsi="sans-serif"/>
                <w:color w:val="000000"/>
                <w:sz w:val="18"/>
              </w:rPr>
            </w:pPr>
            <w:r>
              <w:rPr>
                <w:rFonts w:ascii="sans-serif" w:hAnsi="sans-serif"/>
                <w:color w:val="000000"/>
                <w:sz w:val="18"/>
              </w:rPr>
              <w:t>-</w:t>
            </w:r>
          </w:p>
        </w:tc>
        <w:tc>
          <w:tcPr>
            <w:tcW w:w="28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830" w:type="dxa"/>
            <w:tcBorders>
              <w:bottom w:val="single" w:sz="4" w:space="0" w:color="000000"/>
            </w:tcBorders>
            <w:tcMar>
              <w:top w:w="0" w:type="dxa"/>
              <w:left w:w="0" w:type="dxa"/>
              <w:right w:w="0" w:type="dxa"/>
            </w:tcMar>
            <w:vAlign w:val="center"/>
          </w:tcPr>
          <w:p>
            <w:pPr>
              <w:pStyle w:val="TableContents"/>
              <w:bidi w:val="0"/>
              <w:spacing w:before="35" w:after="283"/>
              <w:jc w:val="right"/>
              <w:rPr>
                <w:rFonts w:ascii="sans-serif" w:hAnsi="sans-serif"/>
                <w:color w:val="000000"/>
                <w:sz w:val="18"/>
              </w:rPr>
            </w:pPr>
            <w:r>
              <w:rPr>
                <w:rFonts w:ascii="sans-serif" w:hAnsi="sans-serif"/>
                <w:color w:val="000000"/>
                <w:sz w:val="18"/>
              </w:rPr>
              <w:t>(88,274)</w:t>
            </w:r>
          </w:p>
        </w:tc>
        <w:tc>
          <w:tcPr>
            <w:tcW w:w="89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11" w:type="dxa"/>
            <w:tcBorders>
              <w:bottom w:val="single" w:sz="4" w:space="0" w:color="000000"/>
            </w:tcBorders>
            <w:tcMar>
              <w:top w:w="0" w:type="dxa"/>
              <w:left w:w="0" w:type="dxa"/>
              <w:right w:w="0" w:type="dxa"/>
            </w:tcMar>
            <w:vAlign w:val="center"/>
          </w:tcPr>
          <w:p>
            <w:pPr>
              <w:pStyle w:val="TableContents"/>
              <w:bidi w:val="0"/>
              <w:spacing w:before="35" w:after="283"/>
              <w:ind w:left="0" w:right="0" w:firstLine="50"/>
              <w:jc w:val="right"/>
              <w:rPr>
                <w:rFonts w:ascii="sans-serif" w:hAnsi="sans-serif"/>
                <w:color w:val="000000"/>
                <w:sz w:val="18"/>
              </w:rPr>
            </w:pPr>
            <w:r>
              <w:rPr>
                <w:rFonts w:ascii="sans-serif" w:hAnsi="sans-serif"/>
                <w:color w:val="000000"/>
                <w:sz w:val="18"/>
              </w:rPr>
              <w:t>(88,274)</w:t>
            </w:r>
          </w:p>
        </w:tc>
      </w:tr>
      <w:tr>
        <w:trPr/>
        <w:tc>
          <w:tcPr>
            <w:tcW w:w="1611" w:type="dxa"/>
            <w:tcBorders/>
            <w:tcMar>
              <w:top w:w="0" w:type="dxa"/>
              <w:left w:w="0" w:type="dxa"/>
              <w:bottom w:w="0" w:type="dxa"/>
              <w:right w:w="0" w:type="dxa"/>
            </w:tcMar>
            <w:vAlign w:val="center"/>
          </w:tcPr>
          <w:p>
            <w:pPr>
              <w:pStyle w:val="TableContents"/>
              <w:bidi w:val="0"/>
              <w:spacing w:before="87" w:after="283"/>
              <w:ind w:left="0" w:right="0" w:firstLine="50"/>
              <w:jc w:val="left"/>
              <w:rPr>
                <w:rFonts w:ascii="sans-serif" w:hAnsi="sans-serif"/>
                <w:color w:val="000000"/>
                <w:sz w:val="18"/>
              </w:rPr>
            </w:pPr>
            <w:r>
              <w:rPr>
                <w:rFonts w:ascii="sans-serif" w:hAnsi="sans-serif"/>
                <w:color w:val="000000"/>
                <w:sz w:val="18"/>
              </w:rPr>
              <w:t>BALANCE - December 31, 2025</w:t>
            </w:r>
          </w:p>
        </w:tc>
        <w:tc>
          <w:tcPr>
            <w:tcW w:w="1827" w:type="dxa"/>
            <w:tcBorders>
              <w:bottom w:val="double" w:sz="4" w:space="0" w:color="000000"/>
            </w:tcBorders>
            <w:tcMar>
              <w:top w:w="0" w:type="dxa"/>
              <w:left w:w="0" w:type="dxa"/>
              <w:right w:w="0" w:type="dxa"/>
            </w:tcMar>
            <w:vAlign w:val="center"/>
          </w:tcPr>
          <w:p>
            <w:pPr>
              <w:pStyle w:val="TableContents"/>
              <w:bidi w:val="0"/>
              <w:spacing w:before="56" w:after="283"/>
              <w:jc w:val="right"/>
              <w:rPr>
                <w:rFonts w:ascii="Times New Roman" w:hAnsi="Times New Roman"/>
                <w:sz w:val="18"/>
              </w:rPr>
            </w:pPr>
            <w:r>
              <w:rPr>
                <w:rFonts w:ascii="sans-serif" w:hAnsi="sans-serif"/>
                <w:color w:val="000000"/>
                <w:sz w:val="18"/>
              </w:rPr>
              <w:t>$3,913</w:t>
            </w:r>
            <w:r>
              <w:rPr>
                <w:rFonts w:ascii="Times New Roman" w:hAnsi="Times New Roman"/>
                <w:color w:val="000000"/>
                <w:sz w:val="18"/>
              </w:rPr>
              <w:t xml:space="preserve"> </w:t>
            </w:r>
          </w:p>
        </w:tc>
        <w:tc>
          <w:tcPr>
            <w:tcW w:w="150"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426" w:type="dxa"/>
            <w:tcBorders>
              <w:bottom w:val="double" w:sz="4" w:space="0" w:color="000000"/>
            </w:tcBorders>
            <w:tcMar>
              <w:top w:w="0" w:type="dxa"/>
              <w:left w:w="0" w:type="dxa"/>
              <w:right w:w="0" w:type="dxa"/>
            </w:tcMar>
            <w:vAlign w:val="center"/>
          </w:tcPr>
          <w:p>
            <w:pPr>
              <w:pStyle w:val="TableContents"/>
              <w:bidi w:val="0"/>
              <w:spacing w:before="90" w:after="283"/>
              <w:jc w:val="right"/>
              <w:rPr>
                <w:rFonts w:ascii="sans-serif" w:hAnsi="sans-serif"/>
                <w:color w:val="000000"/>
                <w:sz w:val="18"/>
              </w:rPr>
            </w:pPr>
            <w:r>
              <w:rPr>
                <w:rFonts w:ascii="sans-serif" w:hAnsi="sans-serif"/>
                <w:color w:val="000000"/>
                <w:sz w:val="18"/>
              </w:rPr>
              <w:t>$151,115,587</w:t>
            </w:r>
          </w:p>
        </w:tc>
        <w:tc>
          <w:tcPr>
            <w:tcW w:w="1417" w:type="dxa"/>
            <w:tcBorders>
              <w:bottom w:val="double" w:sz="4" w:space="0" w:color="000000"/>
            </w:tcBorders>
            <w:tcMar>
              <w:top w:w="0" w:type="dxa"/>
              <w:left w:w="0" w:type="dxa"/>
              <w:right w:w="0" w:type="dxa"/>
            </w:tcMar>
            <w:vAlign w:val="center"/>
          </w:tcPr>
          <w:p>
            <w:pPr>
              <w:pStyle w:val="TableContents"/>
              <w:bidi w:val="0"/>
              <w:spacing w:before="90" w:after="283"/>
              <w:jc w:val="right"/>
              <w:rPr>
                <w:rFonts w:ascii="sans-serif" w:hAnsi="sans-serif"/>
                <w:color w:val="000000"/>
                <w:sz w:val="18"/>
              </w:rPr>
            </w:pPr>
            <w:r>
              <w:rPr>
                <w:rFonts w:ascii="sans-serif" w:hAnsi="sans-serif"/>
                <w:color w:val="000000"/>
                <w:sz w:val="18"/>
              </w:rPr>
              <w:t>$98,871,073</w:t>
            </w:r>
          </w:p>
        </w:tc>
        <w:tc>
          <w:tcPr>
            <w:tcW w:w="280"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830" w:type="dxa"/>
            <w:tcBorders>
              <w:bottom w:val="double" w:sz="4" w:space="0" w:color="000000"/>
            </w:tcBorders>
            <w:tcMar>
              <w:top w:w="0" w:type="dxa"/>
              <w:left w:w="0" w:type="dxa"/>
              <w:right w:w="0" w:type="dxa"/>
            </w:tcMar>
            <w:vAlign w:val="center"/>
          </w:tcPr>
          <w:p>
            <w:pPr>
              <w:pStyle w:val="TableContents"/>
              <w:bidi w:val="0"/>
              <w:spacing w:before="90" w:after="283"/>
              <w:jc w:val="right"/>
              <w:rPr>
                <w:rFonts w:ascii="sans-serif" w:hAnsi="sans-serif"/>
                <w:color w:val="000000"/>
                <w:sz w:val="18"/>
              </w:rPr>
            </w:pPr>
            <w:r>
              <w:rPr>
                <w:rFonts w:ascii="sans-serif" w:hAnsi="sans-serif"/>
                <w:color w:val="000000"/>
                <w:sz w:val="18"/>
              </w:rPr>
              <w:t>$7,657,492</w:t>
            </w:r>
          </w:p>
        </w:tc>
        <w:tc>
          <w:tcPr>
            <w:tcW w:w="895"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611" w:type="dxa"/>
            <w:tcBorders>
              <w:bottom w:val="double" w:sz="4" w:space="0" w:color="000000"/>
            </w:tcBorders>
            <w:tcMar>
              <w:top w:w="0" w:type="dxa"/>
              <w:left w:w="0" w:type="dxa"/>
              <w:right w:w="0" w:type="dxa"/>
            </w:tcMar>
            <w:vAlign w:val="center"/>
          </w:tcPr>
          <w:p>
            <w:pPr>
              <w:pStyle w:val="TableContents"/>
              <w:bidi w:val="0"/>
              <w:spacing w:before="90" w:after="283"/>
              <w:jc w:val="right"/>
              <w:rPr>
                <w:rFonts w:ascii="sans-serif" w:hAnsi="sans-serif"/>
                <w:color w:val="000000"/>
                <w:sz w:val="18"/>
              </w:rPr>
            </w:pPr>
            <w:r>
              <w:rPr>
                <w:rFonts w:ascii="sans-serif" w:hAnsi="sans-serif"/>
                <w:color w:val="000000"/>
                <w:sz w:val="18"/>
              </w:rPr>
              <w:t>$257,648,065</w:t>
            </w:r>
          </w:p>
        </w:tc>
      </w:tr>
    </w:tbl>
    <w:p>
      <w:pPr>
        <w:pStyle w:val="TextBody"/>
        <w:bidi w:val="0"/>
        <w:jc w:val="left"/>
        <w:rPr/>
      </w:pPr>
      <w:r>
        <w:rPr/>
        <w:t>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 w:after="283"/>
        <w:jc w:val="left"/>
        <w:rPr/>
      </w:pPr>
      <w:r>
        <w:rPr/>
        <w:t> </w:t>
      </w:r>
    </w:p>
    <w:tbl>
      <w:tblPr>
        <w:tblW w:w="10205" w:type="dxa"/>
        <w:jc w:val="left"/>
        <w:tblInd w:w="0" w:type="dxa"/>
        <w:tblLayout w:type="fixed"/>
        <w:tblCellMar>
          <w:top w:w="28" w:type="dxa"/>
          <w:left w:w="28" w:type="dxa"/>
          <w:bottom w:w="28" w:type="dxa"/>
          <w:right w:w="28" w:type="dxa"/>
        </w:tblCellMar>
      </w:tblPr>
      <w:tblGrid>
        <w:gridCol w:w="6196"/>
        <w:gridCol w:w="1999"/>
        <w:gridCol w:w="2010"/>
      </w:tblGrid>
      <w:tr>
        <w:trPr/>
        <w:tc>
          <w:tcPr>
            <w:tcW w:w="6196"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ind w:left="0" w:right="0" w:firstLine="78"/>
              <w:jc w:val="left"/>
              <w:rPr>
                <w:rFonts w:ascii="sans-serif" w:hAnsi="sans-serif"/>
                <w:b/>
                <w:color w:val="000000"/>
                <w:sz w:val="23"/>
              </w:rPr>
            </w:pPr>
            <w:r>
              <w:rPr>
                <w:rFonts w:ascii="sans-serif" w:hAnsi="sans-serif"/>
                <w:b/>
                <w:color w:val="000000"/>
                <w:sz w:val="23"/>
              </w:rPr>
              <w:t>KUBRA HOLDINGS, INC. AND SUBSIDIARIES, AND KUBRA DATA TRANSFER LTD.</w:t>
            </w:r>
          </w:p>
        </w:tc>
      </w:tr>
      <w:tr>
        <w:trPr/>
        <w:tc>
          <w:tcPr>
            <w:tcW w:w="10205" w:type="dxa"/>
            <w:gridSpan w:val="3"/>
            <w:tcBorders/>
            <w:tcMar>
              <w:top w:w="0" w:type="dxa"/>
              <w:left w:w="0" w:type="dxa"/>
              <w:bottom w:w="0" w:type="dxa"/>
              <w:right w:w="0" w:type="dxa"/>
            </w:tcMar>
            <w:vAlign w:val="center"/>
          </w:tcPr>
          <w:p>
            <w:pPr>
              <w:pStyle w:val="TableContents"/>
              <w:bidi w:val="0"/>
              <w:spacing w:before="27" w:after="283"/>
              <w:ind w:left="0" w:right="0" w:firstLine="50"/>
              <w:jc w:val="left"/>
              <w:rPr>
                <w:rFonts w:ascii="sans-serif" w:hAnsi="sans-serif"/>
                <w:b/>
                <w:color w:val="000000"/>
                <w:sz w:val="23"/>
              </w:rPr>
            </w:pPr>
            <w:r>
              <w:rPr>
                <w:rFonts w:ascii="sans-serif" w:hAnsi="sans-serif"/>
                <w:b/>
                <w:color w:val="000000"/>
                <w:sz w:val="23"/>
              </w:rPr>
              <w:t>COMBINED AND CONSOLIDATED STATEMENTS OF CASH FLOWS</w:t>
            </w:r>
          </w:p>
        </w:tc>
      </w:tr>
      <w:tr>
        <w:trPr/>
        <w:tc>
          <w:tcPr>
            <w:tcW w:w="10205" w:type="dxa"/>
            <w:gridSpan w:val="3"/>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color w:val="000000"/>
              </w:rPr>
            </w:pPr>
            <w:r>
              <w:rPr>
                <w:color w:val="000000"/>
              </w:rPr>
              <w:t> </w:t>
            </w:r>
            <w:r>
              <w:rPr>
                <w:rFonts w:ascii="sans-serif" w:hAnsi="sans-serif"/>
                <w:b/>
                <w:color w:val="000000"/>
                <w:sz w:val="23"/>
              </w:rPr>
              <w:t>FOR THE YEARS ENDED DECEMBER 31, 2025 AND 2024</w:t>
            </w:r>
          </w:p>
        </w:tc>
      </w:tr>
      <w:tr>
        <w:trPr/>
        <w:tc>
          <w:tcPr>
            <w:tcW w:w="6196" w:type="dxa"/>
            <w:tcBorders/>
            <w:tcMar>
              <w:top w:w="0" w:type="dxa"/>
              <w:left w:w="0" w:type="dxa"/>
              <w:bottom w:w="0" w:type="dxa"/>
              <w:right w:w="0" w:type="dxa"/>
            </w:tcMar>
            <w:vAlign w:val="center"/>
          </w:tcPr>
          <w:p>
            <w:pPr>
              <w:pStyle w:val="TableContents"/>
              <w:bidi w:val="0"/>
              <w:spacing w:before="0" w:after="283"/>
              <w:ind w:left="0" w:right="0" w:firstLine="465"/>
              <w:jc w:val="left"/>
              <w:rPr/>
            </w:pPr>
            <w:r>
              <w:rPr/>
              <w:t> </w:t>
            </w:r>
          </w:p>
        </w:tc>
        <w:tc>
          <w:tcPr>
            <w:tcW w:w="1999" w:type="dxa"/>
            <w:tcBorders/>
            <w:tcMar>
              <w:top w:w="0" w:type="dxa"/>
              <w:left w:w="0" w:type="dxa"/>
              <w:bottom w:w="0" w:type="dxa"/>
              <w:right w:w="0" w:type="dxa"/>
            </w:tcMar>
            <w:vAlign w:val="center"/>
          </w:tcPr>
          <w:p>
            <w:pPr>
              <w:pStyle w:val="TableContents"/>
              <w:bidi w:val="0"/>
              <w:spacing w:before="57" w:after="283"/>
              <w:ind w:left="0" w:right="0" w:firstLine="290"/>
              <w:jc w:val="center"/>
              <w:rPr>
                <w:rFonts w:ascii="sans-serif" w:hAnsi="sans-serif"/>
                <w:b/>
                <w:color w:val="000000"/>
                <w:sz w:val="18"/>
              </w:rPr>
            </w:pPr>
            <w:r>
              <w:rPr>
                <w:rFonts w:ascii="sans-serif" w:hAnsi="sans-serif"/>
                <w:b/>
                <w:color w:val="000000"/>
                <w:sz w:val="18"/>
              </w:rPr>
              <w:t>2025</w:t>
            </w:r>
          </w:p>
        </w:tc>
        <w:tc>
          <w:tcPr>
            <w:tcW w:w="2010" w:type="dxa"/>
            <w:tcBorders/>
            <w:tcMar>
              <w:top w:w="0" w:type="dxa"/>
              <w:left w:w="0" w:type="dxa"/>
              <w:bottom w:w="0" w:type="dxa"/>
              <w:right w:w="0" w:type="dxa"/>
            </w:tcMar>
            <w:vAlign w:val="center"/>
          </w:tcPr>
          <w:p>
            <w:pPr>
              <w:pStyle w:val="TableContents"/>
              <w:bidi w:val="0"/>
              <w:spacing w:before="57" w:after="283"/>
              <w:ind w:left="0" w:right="0" w:firstLine="78"/>
              <w:jc w:val="center"/>
              <w:rPr>
                <w:rFonts w:ascii="sans-serif" w:hAnsi="sans-serif"/>
                <w:b/>
                <w:color w:val="000000"/>
                <w:sz w:val="18"/>
              </w:rPr>
            </w:pPr>
            <w:r>
              <w:rPr>
                <w:rFonts w:ascii="sans-serif" w:hAnsi="sans-serif"/>
                <w:b/>
                <w:color w:val="000000"/>
                <w:sz w:val="18"/>
              </w:rPr>
              <w:t>2024</w:t>
            </w:r>
          </w:p>
        </w:tc>
      </w:tr>
      <w:tr>
        <w:trPr/>
        <w:tc>
          <w:tcPr>
            <w:tcW w:w="6196" w:type="dxa"/>
            <w:tcBorders/>
            <w:tcMar>
              <w:top w:w="0" w:type="dxa"/>
              <w:left w:w="0" w:type="dxa"/>
              <w:bottom w:w="0" w:type="dxa"/>
              <w:right w:w="0" w:type="dxa"/>
            </w:tcMar>
            <w:vAlign w:val="center"/>
          </w:tcPr>
          <w:p>
            <w:pPr>
              <w:pStyle w:val="TableContents"/>
              <w:bidi w:val="0"/>
              <w:spacing w:before="125" w:after="283"/>
              <w:ind w:left="0" w:right="0" w:firstLine="78"/>
              <w:jc w:val="left"/>
              <w:rPr>
                <w:rFonts w:ascii="sans-serif" w:hAnsi="sans-serif"/>
                <w:b/>
                <w:color w:val="000000"/>
                <w:sz w:val="18"/>
              </w:rPr>
            </w:pPr>
            <w:r>
              <w:rPr>
                <w:rFonts w:ascii="sans-serif" w:hAnsi="sans-serif"/>
                <w:b/>
                <w:color w:val="000000"/>
                <w:sz w:val="18"/>
              </w:rPr>
              <w:t>CASH FLOWS FROM OPERATING ACTIVITIES:</w:t>
            </w:r>
          </w:p>
        </w:tc>
        <w:tc>
          <w:tcPr>
            <w:tcW w:w="1999" w:type="dxa"/>
            <w:tcBorders/>
            <w:tcMar>
              <w:top w:w="0" w:type="dxa"/>
              <w:left w:w="0" w:type="dxa"/>
              <w:bottom w:w="0" w:type="dxa"/>
              <w:right w:w="0" w:type="dxa"/>
            </w:tcMar>
            <w:vAlign w:val="center"/>
          </w:tcPr>
          <w:p>
            <w:pPr>
              <w:pStyle w:val="TableContents"/>
              <w:bidi w:val="0"/>
              <w:spacing w:before="0" w:after="283"/>
              <w:jc w:val="left"/>
              <w:rPr/>
            </w:pPr>
            <w:r>
              <w:rPr/>
              <w:t> </w:t>
            </w:r>
          </w:p>
        </w:tc>
        <w:tc>
          <w:tcPr>
            <w:tcW w:w="2010" w:type="dxa"/>
            <w:tcBorders/>
            <w:tcMar>
              <w:top w:w="0" w:type="dxa"/>
              <w:left w:w="0" w:type="dxa"/>
              <w:bottom w:w="0" w:type="dxa"/>
              <w:right w:w="0" w:type="dxa"/>
            </w:tcMar>
            <w:vAlign w:val="center"/>
          </w:tcPr>
          <w:p>
            <w:pPr>
              <w:pStyle w:val="TableContents"/>
              <w:bidi w:val="0"/>
              <w:spacing w:before="0" w:after="283"/>
              <w:ind w:left="0" w:right="0" w:firstLine="148"/>
              <w:jc w:val="left"/>
              <w:rPr/>
            </w:pPr>
            <w:r>
              <w:rPr/>
              <w:t> </w:t>
            </w:r>
          </w:p>
        </w:tc>
      </w:tr>
      <w:tr>
        <w:trPr/>
        <w:tc>
          <w:tcPr>
            <w:tcW w:w="6196" w:type="dxa"/>
            <w:tcBorders/>
            <w:tcMar>
              <w:top w:w="0" w:type="dxa"/>
              <w:left w:w="0" w:type="dxa"/>
              <w:bottom w:w="0" w:type="dxa"/>
              <w:right w:w="0" w:type="dxa"/>
            </w:tcMar>
            <w:vAlign w:val="center"/>
          </w:tcPr>
          <w:p>
            <w:pPr>
              <w:pStyle w:val="TableContents"/>
              <w:bidi w:val="0"/>
              <w:spacing w:before="0" w:after="283"/>
              <w:ind w:left="0" w:right="0" w:firstLine="307"/>
              <w:jc w:val="left"/>
              <w:rPr>
                <w:rFonts w:ascii="sans-serif" w:hAnsi="sans-serif"/>
                <w:b/>
                <w:color w:val="000000"/>
                <w:sz w:val="18"/>
              </w:rPr>
            </w:pPr>
            <w:r>
              <w:rPr>
                <w:rFonts w:ascii="sans-serif" w:hAnsi="sans-serif"/>
                <w:b/>
                <w:color w:val="000000"/>
                <w:sz w:val="18"/>
              </w:rPr>
              <w:t>Net income</w:t>
            </w:r>
          </w:p>
        </w:tc>
        <w:tc>
          <w:tcPr>
            <w:tcW w:w="1999" w:type="dxa"/>
            <w:tcBorders/>
            <w:tcMar>
              <w:top w:w="0" w:type="dxa"/>
              <w:left w:w="0" w:type="dxa"/>
              <w:bottom w:w="0" w:type="dxa"/>
              <w:right w:w="0" w:type="dxa"/>
            </w:tcMar>
            <w:vAlign w:val="center"/>
          </w:tcPr>
          <w:p>
            <w:pPr>
              <w:pStyle w:val="TableContents"/>
              <w:bidi w:val="0"/>
              <w:spacing w:before="11" w:after="283"/>
              <w:ind w:left="0" w:right="0" w:firstLine="307"/>
              <w:jc w:val="right"/>
              <w:rPr>
                <w:rFonts w:ascii="sans-serif" w:hAnsi="sans-serif"/>
                <w:color w:val="000000"/>
                <w:sz w:val="18"/>
              </w:rPr>
            </w:pPr>
            <w:r>
              <w:rPr>
                <w:rFonts w:ascii="sans-serif" w:hAnsi="sans-serif"/>
                <w:color w:val="000000"/>
                <w:sz w:val="18"/>
              </w:rPr>
              <w:t>$10,805,123</w:t>
            </w:r>
          </w:p>
        </w:tc>
        <w:tc>
          <w:tcPr>
            <w:tcW w:w="2010" w:type="dxa"/>
            <w:tcBorders/>
            <w:tcMar>
              <w:top w:w="0" w:type="dxa"/>
              <w:left w:w="0" w:type="dxa"/>
              <w:bottom w:w="0" w:type="dxa"/>
              <w:right w:w="0" w:type="dxa"/>
            </w:tcMar>
            <w:vAlign w:val="center"/>
          </w:tcPr>
          <w:p>
            <w:pPr>
              <w:pStyle w:val="TableContents"/>
              <w:bidi w:val="0"/>
              <w:spacing w:before="11" w:after="283"/>
              <w:ind w:left="0" w:right="0" w:firstLine="148"/>
              <w:jc w:val="right"/>
              <w:rPr>
                <w:rFonts w:ascii="sans-serif" w:hAnsi="sans-serif"/>
                <w:color w:val="000000"/>
                <w:sz w:val="18"/>
              </w:rPr>
            </w:pPr>
            <w:r>
              <w:rPr>
                <w:rFonts w:ascii="sans-serif" w:hAnsi="sans-serif"/>
                <w:color w:val="000000"/>
                <w:sz w:val="18"/>
              </w:rPr>
              <w:t>$11,332,236</w:t>
            </w:r>
          </w:p>
        </w:tc>
      </w:tr>
      <w:tr>
        <w:trPr/>
        <w:tc>
          <w:tcPr>
            <w:tcW w:w="10205" w:type="dxa"/>
            <w:gridSpan w:val="3"/>
            <w:tcBorders/>
            <w:tcMar>
              <w:top w:w="0" w:type="dxa"/>
              <w:left w:w="0" w:type="dxa"/>
              <w:bottom w:w="0" w:type="dxa"/>
              <w:right w:w="0" w:type="dxa"/>
            </w:tcMar>
            <w:vAlign w:val="center"/>
          </w:tcPr>
          <w:p>
            <w:pPr>
              <w:pStyle w:val="TableContents"/>
              <w:bidi w:val="0"/>
              <w:spacing w:before="0" w:after="283"/>
              <w:ind w:left="0" w:right="0" w:firstLine="217"/>
              <w:jc w:val="left"/>
              <w:rPr>
                <w:rFonts w:ascii="sans-serif" w:hAnsi="sans-serif"/>
                <w:color w:val="000000"/>
                <w:sz w:val="18"/>
              </w:rPr>
            </w:pPr>
            <w:r>
              <w:rPr>
                <w:rFonts w:ascii="sans-serif" w:hAnsi="sans-serif"/>
                <w:color w:val="000000"/>
                <w:sz w:val="18"/>
              </w:rPr>
              <w:t>Adjustments to reconcile net income to net cash provided by operating activities:</w:t>
            </w:r>
          </w:p>
        </w:tc>
      </w:tr>
      <w:tr>
        <w:trPr/>
        <w:tc>
          <w:tcPr>
            <w:tcW w:w="6196" w:type="dxa"/>
            <w:tcBorders/>
            <w:tcMar>
              <w:top w:w="0" w:type="dxa"/>
              <w:left w:w="0" w:type="dxa"/>
              <w:bottom w:w="0" w:type="dxa"/>
              <w:right w:w="0" w:type="dxa"/>
            </w:tcMar>
            <w:vAlign w:val="center"/>
          </w:tcPr>
          <w:p>
            <w:pPr>
              <w:pStyle w:val="TableContents"/>
              <w:bidi w:val="0"/>
              <w:spacing w:before="9" w:after="283"/>
              <w:ind w:left="0" w:right="0" w:firstLine="398"/>
              <w:jc w:val="left"/>
              <w:rPr>
                <w:rFonts w:ascii="sans-serif" w:hAnsi="sans-serif"/>
                <w:color w:val="000000"/>
                <w:sz w:val="18"/>
              </w:rPr>
            </w:pPr>
            <w:r>
              <w:rPr>
                <w:rFonts w:ascii="sans-serif" w:hAnsi="sans-serif"/>
                <w:color w:val="000000"/>
                <w:sz w:val="18"/>
              </w:rPr>
              <w:t>Depreciation and amortization</w:t>
            </w:r>
          </w:p>
        </w:tc>
        <w:tc>
          <w:tcPr>
            <w:tcW w:w="1999" w:type="dxa"/>
            <w:tcBorders/>
            <w:tcMar>
              <w:top w:w="0" w:type="dxa"/>
              <w:left w:w="0" w:type="dxa"/>
              <w:bottom w:w="0" w:type="dxa"/>
              <w:right w:w="0" w:type="dxa"/>
            </w:tcMar>
            <w:vAlign w:val="center"/>
          </w:tcPr>
          <w:p>
            <w:pPr>
              <w:pStyle w:val="TableContents"/>
              <w:bidi w:val="0"/>
              <w:spacing w:before="9" w:after="283"/>
              <w:ind w:left="0" w:right="0" w:firstLine="398"/>
              <w:jc w:val="right"/>
              <w:rPr>
                <w:rFonts w:ascii="sans-serif" w:hAnsi="sans-serif"/>
                <w:color w:val="000000"/>
                <w:sz w:val="18"/>
              </w:rPr>
            </w:pPr>
            <w:r>
              <w:rPr>
                <w:rFonts w:ascii="sans-serif" w:hAnsi="sans-serif"/>
                <w:color w:val="000000"/>
                <w:sz w:val="18"/>
              </w:rPr>
              <w:t>22,059,233</w:t>
            </w:r>
          </w:p>
        </w:tc>
        <w:tc>
          <w:tcPr>
            <w:tcW w:w="2010" w:type="dxa"/>
            <w:tcBorders/>
            <w:tcMar>
              <w:top w:w="0" w:type="dxa"/>
              <w:left w:w="0" w:type="dxa"/>
              <w:bottom w:w="0" w:type="dxa"/>
              <w:right w:w="0" w:type="dxa"/>
            </w:tcMar>
            <w:vAlign w:val="center"/>
          </w:tcPr>
          <w:p>
            <w:pPr>
              <w:pStyle w:val="TableContents"/>
              <w:bidi w:val="0"/>
              <w:spacing w:before="0" w:after="283"/>
              <w:ind w:left="0" w:right="0" w:firstLine="217"/>
              <w:jc w:val="right"/>
              <w:rPr>
                <w:rFonts w:ascii="sans-serif" w:hAnsi="sans-serif"/>
                <w:color w:val="000000"/>
                <w:sz w:val="18"/>
              </w:rPr>
            </w:pPr>
            <w:r>
              <w:rPr>
                <w:rFonts w:ascii="sans-serif" w:hAnsi="sans-serif"/>
                <w:color w:val="000000"/>
                <w:sz w:val="18"/>
              </w:rPr>
              <w:t>21,741,072</w:t>
            </w:r>
          </w:p>
        </w:tc>
      </w:tr>
      <w:tr>
        <w:trPr/>
        <w:tc>
          <w:tcPr>
            <w:tcW w:w="6196" w:type="dxa"/>
            <w:tcBorders/>
            <w:tcMar>
              <w:top w:w="0" w:type="dxa"/>
              <w:left w:w="0" w:type="dxa"/>
              <w:bottom w:w="0" w:type="dxa"/>
              <w:right w:w="0" w:type="dxa"/>
            </w:tcMar>
            <w:vAlign w:val="center"/>
          </w:tcPr>
          <w:p>
            <w:pPr>
              <w:pStyle w:val="TableContents"/>
              <w:bidi w:val="0"/>
              <w:spacing w:before="0" w:after="283"/>
              <w:ind w:left="0" w:right="0" w:firstLine="217"/>
              <w:jc w:val="left"/>
              <w:rPr>
                <w:rFonts w:ascii="sans-serif" w:hAnsi="sans-serif"/>
                <w:color w:val="000000"/>
                <w:sz w:val="18"/>
              </w:rPr>
            </w:pPr>
            <w:r>
              <w:rPr>
                <w:rFonts w:ascii="sans-serif" w:hAnsi="sans-serif"/>
                <w:color w:val="000000"/>
                <w:sz w:val="18"/>
              </w:rPr>
              <w:t>Non-cash lease expense—operating leases</w:t>
            </w:r>
          </w:p>
        </w:tc>
        <w:tc>
          <w:tcPr>
            <w:tcW w:w="199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2,934,315</w:t>
            </w:r>
          </w:p>
        </w:tc>
        <w:tc>
          <w:tcPr>
            <w:tcW w:w="2010" w:type="dxa"/>
            <w:tcBorders/>
            <w:tcMar>
              <w:top w:w="0" w:type="dxa"/>
              <w:left w:w="0" w:type="dxa"/>
              <w:bottom w:w="0" w:type="dxa"/>
              <w:right w:w="0" w:type="dxa"/>
            </w:tcMar>
            <w:vAlign w:val="center"/>
          </w:tcPr>
          <w:p>
            <w:pPr>
              <w:pStyle w:val="TableContents"/>
              <w:bidi w:val="0"/>
              <w:spacing w:before="0" w:after="283"/>
              <w:ind w:left="0" w:right="0" w:firstLine="217"/>
              <w:jc w:val="right"/>
              <w:rPr>
                <w:rFonts w:ascii="sans-serif" w:hAnsi="sans-serif"/>
                <w:color w:val="000000"/>
                <w:sz w:val="18"/>
              </w:rPr>
            </w:pPr>
            <w:r>
              <w:rPr>
                <w:rFonts w:ascii="sans-serif" w:hAnsi="sans-serif"/>
                <w:color w:val="000000"/>
                <w:sz w:val="18"/>
              </w:rPr>
              <w:t>2,749,444</w:t>
            </w:r>
          </w:p>
        </w:tc>
      </w:tr>
      <w:tr>
        <w:trPr/>
        <w:tc>
          <w:tcPr>
            <w:tcW w:w="6196" w:type="dxa"/>
            <w:tcBorders/>
            <w:tcMar>
              <w:top w:w="0" w:type="dxa"/>
              <w:left w:w="0" w:type="dxa"/>
              <w:bottom w:w="0" w:type="dxa"/>
              <w:right w:w="0" w:type="dxa"/>
            </w:tcMar>
            <w:vAlign w:val="center"/>
          </w:tcPr>
          <w:p>
            <w:pPr>
              <w:pStyle w:val="TableContents"/>
              <w:bidi w:val="0"/>
              <w:spacing w:before="0" w:after="283"/>
              <w:ind w:left="0" w:right="0" w:firstLine="217"/>
              <w:jc w:val="left"/>
              <w:rPr>
                <w:rFonts w:ascii="sans-serif" w:hAnsi="sans-serif"/>
                <w:color w:val="000000"/>
                <w:sz w:val="18"/>
              </w:rPr>
            </w:pPr>
            <w:r>
              <w:rPr>
                <w:rFonts w:ascii="sans-serif" w:hAnsi="sans-serif"/>
                <w:color w:val="000000"/>
                <w:sz w:val="18"/>
              </w:rPr>
              <w:t>Loss (gain) on disposal of property and equipment</w:t>
            </w:r>
          </w:p>
        </w:tc>
        <w:tc>
          <w:tcPr>
            <w:tcW w:w="199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64,565</w:t>
            </w:r>
          </w:p>
        </w:tc>
        <w:tc>
          <w:tcPr>
            <w:tcW w:w="2010" w:type="dxa"/>
            <w:tcBorders/>
            <w:tcMar>
              <w:top w:w="0" w:type="dxa"/>
              <w:left w:w="0" w:type="dxa"/>
              <w:bottom w:w="0" w:type="dxa"/>
              <w:right w:w="0" w:type="dxa"/>
            </w:tcMar>
            <w:vAlign w:val="center"/>
          </w:tcPr>
          <w:p>
            <w:pPr>
              <w:pStyle w:val="TableContents"/>
              <w:bidi w:val="0"/>
              <w:spacing w:before="0" w:after="283"/>
              <w:ind w:left="0" w:right="0" w:firstLine="217"/>
              <w:jc w:val="right"/>
              <w:rPr>
                <w:rFonts w:ascii="sans-serif" w:hAnsi="sans-serif"/>
                <w:color w:val="000000"/>
                <w:sz w:val="18"/>
              </w:rPr>
            </w:pPr>
            <w:r>
              <w:rPr>
                <w:rFonts w:ascii="sans-serif" w:hAnsi="sans-serif"/>
                <w:color w:val="000000"/>
                <w:sz w:val="18"/>
              </w:rPr>
              <w:t>(3,111)</w:t>
            </w:r>
          </w:p>
        </w:tc>
      </w:tr>
      <w:tr>
        <w:trPr/>
        <w:tc>
          <w:tcPr>
            <w:tcW w:w="6196" w:type="dxa"/>
            <w:tcBorders/>
            <w:tcMar>
              <w:top w:w="0" w:type="dxa"/>
              <w:left w:w="0" w:type="dxa"/>
              <w:bottom w:w="0" w:type="dxa"/>
              <w:right w:w="0" w:type="dxa"/>
            </w:tcMar>
            <w:vAlign w:val="center"/>
          </w:tcPr>
          <w:p>
            <w:pPr>
              <w:pStyle w:val="TableContents"/>
              <w:bidi w:val="0"/>
              <w:spacing w:before="0" w:after="283"/>
              <w:ind w:left="0" w:right="0" w:firstLine="217"/>
              <w:jc w:val="left"/>
              <w:rPr>
                <w:rFonts w:ascii="sans-serif" w:hAnsi="sans-serif"/>
                <w:color w:val="000000"/>
                <w:sz w:val="18"/>
              </w:rPr>
            </w:pPr>
            <w:r>
              <w:rPr>
                <w:rFonts w:ascii="sans-serif" w:hAnsi="sans-serif"/>
                <w:color w:val="000000"/>
                <w:sz w:val="18"/>
              </w:rPr>
              <w:t>Deferred taxes</w:t>
            </w:r>
          </w:p>
        </w:tc>
        <w:tc>
          <w:tcPr>
            <w:tcW w:w="199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895,585</w:t>
            </w:r>
          </w:p>
        </w:tc>
        <w:tc>
          <w:tcPr>
            <w:tcW w:w="2010" w:type="dxa"/>
            <w:tcBorders/>
            <w:tcMar>
              <w:top w:w="0" w:type="dxa"/>
              <w:left w:w="0" w:type="dxa"/>
              <w:bottom w:w="0" w:type="dxa"/>
              <w:right w:w="0" w:type="dxa"/>
            </w:tcMar>
            <w:vAlign w:val="center"/>
          </w:tcPr>
          <w:p>
            <w:pPr>
              <w:pStyle w:val="TableContents"/>
              <w:bidi w:val="0"/>
              <w:spacing w:before="0" w:after="283"/>
              <w:ind w:left="0" w:right="0" w:firstLine="217"/>
              <w:jc w:val="right"/>
              <w:rPr>
                <w:rFonts w:ascii="sans-serif" w:hAnsi="sans-serif"/>
                <w:color w:val="000000"/>
                <w:sz w:val="18"/>
              </w:rPr>
            </w:pPr>
            <w:r>
              <w:rPr>
                <w:rFonts w:ascii="sans-serif" w:hAnsi="sans-serif"/>
                <w:color w:val="000000"/>
                <w:sz w:val="18"/>
              </w:rPr>
              <w:t>(4,421,501)</w:t>
            </w:r>
          </w:p>
        </w:tc>
      </w:tr>
      <w:tr>
        <w:trPr/>
        <w:tc>
          <w:tcPr>
            <w:tcW w:w="6196" w:type="dxa"/>
            <w:tcBorders/>
            <w:tcMar>
              <w:top w:w="0" w:type="dxa"/>
              <w:left w:w="0" w:type="dxa"/>
              <w:bottom w:w="0" w:type="dxa"/>
              <w:right w:w="0" w:type="dxa"/>
            </w:tcMar>
            <w:vAlign w:val="center"/>
          </w:tcPr>
          <w:p>
            <w:pPr>
              <w:pStyle w:val="TableContents"/>
              <w:bidi w:val="0"/>
              <w:spacing w:before="0" w:after="283"/>
              <w:ind w:left="0" w:right="0" w:firstLine="217"/>
              <w:jc w:val="left"/>
              <w:rPr>
                <w:rFonts w:ascii="sans-serif" w:hAnsi="sans-serif"/>
                <w:color w:val="000000"/>
                <w:sz w:val="18"/>
              </w:rPr>
            </w:pPr>
            <w:r>
              <w:rPr>
                <w:rFonts w:ascii="sans-serif" w:hAnsi="sans-serif"/>
                <w:color w:val="000000"/>
                <w:sz w:val="18"/>
              </w:rPr>
              <w:t>Changes in operating assets and liabilities:</w:t>
            </w:r>
          </w:p>
        </w:tc>
        <w:tc>
          <w:tcPr>
            <w:tcW w:w="1999"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0" w:type="dxa"/>
            <w:tcBorders/>
            <w:tcMar>
              <w:top w:w="0" w:type="dxa"/>
              <w:left w:w="0" w:type="dxa"/>
              <w:bottom w:w="0" w:type="dxa"/>
              <w:right w:w="0" w:type="dxa"/>
            </w:tcMar>
            <w:vAlign w:val="center"/>
          </w:tcPr>
          <w:p>
            <w:pPr>
              <w:pStyle w:val="TableContents"/>
              <w:bidi w:val="0"/>
              <w:spacing w:before="0" w:after="283"/>
              <w:ind w:left="0" w:right="0" w:firstLine="290"/>
              <w:jc w:val="left"/>
              <w:rPr/>
            </w:pPr>
            <w:r>
              <w:rPr/>
              <w:t> </w:t>
            </w:r>
          </w:p>
        </w:tc>
      </w:tr>
      <w:tr>
        <w:trPr/>
        <w:tc>
          <w:tcPr>
            <w:tcW w:w="6196" w:type="dxa"/>
            <w:tcBorders/>
            <w:tcMar>
              <w:top w:w="0" w:type="dxa"/>
              <w:left w:w="0" w:type="dxa"/>
              <w:bottom w:w="0" w:type="dxa"/>
              <w:right w:w="0" w:type="dxa"/>
            </w:tcMar>
            <w:vAlign w:val="center"/>
          </w:tcPr>
          <w:p>
            <w:pPr>
              <w:pStyle w:val="TableContents"/>
              <w:bidi w:val="0"/>
              <w:spacing w:before="9" w:after="283"/>
              <w:ind w:left="0" w:right="0" w:firstLine="290"/>
              <w:jc w:val="left"/>
              <w:rPr>
                <w:rFonts w:ascii="sans-serif" w:hAnsi="sans-serif"/>
                <w:color w:val="000000"/>
                <w:sz w:val="18"/>
              </w:rPr>
            </w:pPr>
            <w:r>
              <w:rPr>
                <w:rFonts w:ascii="sans-serif" w:hAnsi="sans-serif"/>
                <w:color w:val="000000"/>
                <w:sz w:val="18"/>
              </w:rPr>
              <w:t>Accounts receivable</w:t>
            </w:r>
          </w:p>
        </w:tc>
        <w:tc>
          <w:tcPr>
            <w:tcW w:w="199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(170,444)</w:t>
            </w:r>
          </w:p>
        </w:tc>
        <w:tc>
          <w:tcPr>
            <w:tcW w:w="2010" w:type="dxa"/>
            <w:tcBorders/>
            <w:tcMar>
              <w:top w:w="0" w:type="dxa"/>
              <w:left w:w="0" w:type="dxa"/>
              <w:bottom w:w="0" w:type="dxa"/>
              <w:right w:w="0" w:type="dxa"/>
            </w:tcMar>
            <w:vAlign w:val="center"/>
          </w:tcPr>
          <w:p>
            <w:pPr>
              <w:pStyle w:val="TableContents"/>
              <w:bidi w:val="0"/>
              <w:spacing w:before="0" w:after="283"/>
              <w:ind w:left="0" w:right="0" w:firstLine="290"/>
              <w:jc w:val="right"/>
              <w:rPr>
                <w:rFonts w:ascii="sans-serif" w:hAnsi="sans-serif"/>
                <w:color w:val="000000"/>
                <w:sz w:val="18"/>
              </w:rPr>
            </w:pPr>
            <w:r>
              <w:rPr>
                <w:rFonts w:ascii="sans-serif" w:hAnsi="sans-serif"/>
                <w:color w:val="000000"/>
                <w:sz w:val="18"/>
              </w:rPr>
              <w:t>(2,909,863)</w:t>
            </w:r>
          </w:p>
        </w:tc>
      </w:tr>
      <w:tr>
        <w:trPr/>
        <w:tc>
          <w:tcPr>
            <w:tcW w:w="6196" w:type="dxa"/>
            <w:tcBorders/>
            <w:tcMar>
              <w:top w:w="0" w:type="dxa"/>
              <w:left w:w="0" w:type="dxa"/>
              <w:bottom w:w="0" w:type="dxa"/>
              <w:right w:w="0" w:type="dxa"/>
            </w:tcMar>
            <w:vAlign w:val="center"/>
          </w:tcPr>
          <w:p>
            <w:pPr>
              <w:pStyle w:val="TableContents"/>
              <w:bidi w:val="0"/>
              <w:spacing w:before="0" w:after="283"/>
              <w:ind w:left="0" w:right="0" w:firstLine="290"/>
              <w:jc w:val="left"/>
              <w:rPr>
                <w:rFonts w:ascii="sans-serif" w:hAnsi="sans-serif"/>
                <w:color w:val="000000"/>
                <w:sz w:val="18"/>
              </w:rPr>
            </w:pPr>
            <w:r>
              <w:rPr>
                <w:rFonts w:ascii="sans-serif" w:hAnsi="sans-serif"/>
                <w:color w:val="000000"/>
                <w:sz w:val="18"/>
              </w:rPr>
              <w:t>Prepaid expenses and other current assets</w:t>
            </w:r>
          </w:p>
        </w:tc>
        <w:tc>
          <w:tcPr>
            <w:tcW w:w="199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(69,438)</w:t>
            </w:r>
          </w:p>
        </w:tc>
        <w:tc>
          <w:tcPr>
            <w:tcW w:w="2010" w:type="dxa"/>
            <w:tcBorders/>
            <w:tcMar>
              <w:top w:w="0" w:type="dxa"/>
              <w:left w:w="0" w:type="dxa"/>
              <w:bottom w:w="0" w:type="dxa"/>
              <w:right w:w="0" w:type="dxa"/>
            </w:tcMar>
            <w:vAlign w:val="center"/>
          </w:tcPr>
          <w:p>
            <w:pPr>
              <w:pStyle w:val="TableContents"/>
              <w:bidi w:val="0"/>
              <w:spacing w:before="0" w:after="283"/>
              <w:ind w:left="0" w:right="0" w:firstLine="290"/>
              <w:jc w:val="right"/>
              <w:rPr>
                <w:rFonts w:ascii="sans-serif" w:hAnsi="sans-serif"/>
                <w:color w:val="000000"/>
                <w:sz w:val="18"/>
              </w:rPr>
            </w:pPr>
            <w:r>
              <w:rPr>
                <w:rFonts w:ascii="sans-serif" w:hAnsi="sans-serif"/>
                <w:color w:val="000000"/>
                <w:sz w:val="18"/>
              </w:rPr>
              <w:t>1,074,412</w:t>
            </w:r>
          </w:p>
        </w:tc>
      </w:tr>
      <w:tr>
        <w:trPr/>
        <w:tc>
          <w:tcPr>
            <w:tcW w:w="6196" w:type="dxa"/>
            <w:tcBorders/>
            <w:tcMar>
              <w:top w:w="0" w:type="dxa"/>
              <w:left w:w="0" w:type="dxa"/>
              <w:bottom w:w="0" w:type="dxa"/>
              <w:right w:w="0" w:type="dxa"/>
            </w:tcMar>
            <w:vAlign w:val="center"/>
          </w:tcPr>
          <w:p>
            <w:pPr>
              <w:pStyle w:val="TableContents"/>
              <w:bidi w:val="0"/>
              <w:spacing w:before="1" w:after="283"/>
              <w:ind w:left="0" w:right="0" w:firstLine="290"/>
              <w:jc w:val="left"/>
              <w:rPr>
                <w:rFonts w:ascii="sans-serif" w:hAnsi="sans-serif"/>
                <w:color w:val="000000"/>
                <w:sz w:val="18"/>
              </w:rPr>
            </w:pPr>
            <w:r>
              <w:rPr>
                <w:rFonts w:ascii="sans-serif" w:hAnsi="sans-serif"/>
                <w:color w:val="000000"/>
                <w:sz w:val="18"/>
              </w:rPr>
              <w:t>Inventories</w:t>
            </w:r>
          </w:p>
        </w:tc>
        <w:tc>
          <w:tcPr>
            <w:tcW w:w="199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(74,955)</w:t>
            </w:r>
          </w:p>
        </w:tc>
        <w:tc>
          <w:tcPr>
            <w:tcW w:w="2010" w:type="dxa"/>
            <w:tcBorders/>
            <w:tcMar>
              <w:top w:w="0" w:type="dxa"/>
              <w:left w:w="0" w:type="dxa"/>
              <w:bottom w:w="0" w:type="dxa"/>
              <w:right w:w="0" w:type="dxa"/>
            </w:tcMar>
            <w:vAlign w:val="center"/>
          </w:tcPr>
          <w:p>
            <w:pPr>
              <w:pStyle w:val="TableContents"/>
              <w:bidi w:val="0"/>
              <w:spacing w:before="0" w:after="283"/>
              <w:ind w:left="0" w:right="0" w:firstLine="290"/>
              <w:jc w:val="right"/>
              <w:rPr>
                <w:rFonts w:ascii="sans-serif" w:hAnsi="sans-serif"/>
                <w:color w:val="000000"/>
                <w:sz w:val="18"/>
              </w:rPr>
            </w:pPr>
            <w:r>
              <w:rPr>
                <w:rFonts w:ascii="sans-serif" w:hAnsi="sans-serif"/>
                <w:color w:val="000000"/>
                <w:sz w:val="18"/>
              </w:rPr>
              <w:t>(135,374)</w:t>
            </w:r>
          </w:p>
        </w:tc>
      </w:tr>
      <w:tr>
        <w:trPr/>
        <w:tc>
          <w:tcPr>
            <w:tcW w:w="6196" w:type="dxa"/>
            <w:tcBorders/>
            <w:tcMar>
              <w:top w:w="0" w:type="dxa"/>
              <w:left w:w="0" w:type="dxa"/>
              <w:bottom w:w="0" w:type="dxa"/>
              <w:right w:w="0" w:type="dxa"/>
            </w:tcMar>
            <w:vAlign w:val="center"/>
          </w:tcPr>
          <w:p>
            <w:pPr>
              <w:pStyle w:val="TableContents"/>
              <w:bidi w:val="0"/>
              <w:spacing w:before="1" w:after="283"/>
              <w:ind w:left="0" w:right="0" w:firstLine="290"/>
              <w:jc w:val="left"/>
              <w:rPr>
                <w:rFonts w:ascii="sans-serif" w:hAnsi="sans-serif"/>
                <w:color w:val="000000"/>
                <w:sz w:val="18"/>
              </w:rPr>
            </w:pPr>
            <w:r>
              <w:rPr>
                <w:rFonts w:ascii="sans-serif" w:hAnsi="sans-serif"/>
                <w:color w:val="000000"/>
                <w:sz w:val="18"/>
              </w:rPr>
              <w:t>Accounts payable and accrued expenses</w:t>
            </w:r>
          </w:p>
        </w:tc>
        <w:tc>
          <w:tcPr>
            <w:tcW w:w="199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(407,312)</w:t>
            </w:r>
          </w:p>
        </w:tc>
        <w:tc>
          <w:tcPr>
            <w:tcW w:w="2010" w:type="dxa"/>
            <w:tcBorders/>
            <w:tcMar>
              <w:top w:w="0" w:type="dxa"/>
              <w:left w:w="0" w:type="dxa"/>
              <w:bottom w:w="0" w:type="dxa"/>
              <w:right w:w="0" w:type="dxa"/>
            </w:tcMar>
            <w:vAlign w:val="center"/>
          </w:tcPr>
          <w:p>
            <w:pPr>
              <w:pStyle w:val="TableContents"/>
              <w:bidi w:val="0"/>
              <w:spacing w:before="0" w:after="283"/>
              <w:ind w:left="0" w:right="0" w:firstLine="290"/>
              <w:jc w:val="right"/>
              <w:rPr>
                <w:rFonts w:ascii="sans-serif" w:hAnsi="sans-serif"/>
                <w:color w:val="000000"/>
                <w:sz w:val="18"/>
              </w:rPr>
            </w:pPr>
            <w:r>
              <w:rPr>
                <w:rFonts w:ascii="sans-serif" w:hAnsi="sans-serif"/>
                <w:color w:val="000000"/>
                <w:sz w:val="18"/>
              </w:rPr>
              <w:t>3,020,851</w:t>
            </w:r>
          </w:p>
        </w:tc>
      </w:tr>
      <w:tr>
        <w:trPr/>
        <w:tc>
          <w:tcPr>
            <w:tcW w:w="6196" w:type="dxa"/>
            <w:tcBorders/>
            <w:tcMar>
              <w:top w:w="0" w:type="dxa"/>
              <w:left w:w="0" w:type="dxa"/>
              <w:bottom w:w="0" w:type="dxa"/>
              <w:right w:w="0" w:type="dxa"/>
            </w:tcMar>
            <w:vAlign w:val="center"/>
          </w:tcPr>
          <w:p>
            <w:pPr>
              <w:pStyle w:val="TableContents"/>
              <w:bidi w:val="0"/>
              <w:spacing w:before="1" w:after="283"/>
              <w:ind w:left="0" w:right="0" w:firstLine="290"/>
              <w:jc w:val="left"/>
              <w:rPr>
                <w:rFonts w:ascii="sans-serif" w:hAnsi="sans-serif"/>
                <w:color w:val="000000"/>
                <w:sz w:val="18"/>
              </w:rPr>
            </w:pPr>
            <w:r>
              <w:rPr>
                <w:rFonts w:ascii="sans-serif" w:hAnsi="sans-serif"/>
                <w:color w:val="000000"/>
                <w:sz w:val="18"/>
              </w:rPr>
              <w:t>Deferred revenue</w:t>
            </w:r>
          </w:p>
        </w:tc>
        <w:tc>
          <w:tcPr>
            <w:tcW w:w="199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(907,211)</w:t>
            </w:r>
          </w:p>
        </w:tc>
        <w:tc>
          <w:tcPr>
            <w:tcW w:w="2010" w:type="dxa"/>
            <w:tcBorders/>
            <w:tcMar>
              <w:top w:w="0" w:type="dxa"/>
              <w:left w:w="0" w:type="dxa"/>
              <w:bottom w:w="0" w:type="dxa"/>
              <w:right w:w="0" w:type="dxa"/>
            </w:tcMar>
            <w:vAlign w:val="center"/>
          </w:tcPr>
          <w:p>
            <w:pPr>
              <w:pStyle w:val="TableContents"/>
              <w:bidi w:val="0"/>
              <w:spacing w:before="0" w:after="283"/>
              <w:ind w:left="0" w:right="0" w:firstLine="290"/>
              <w:jc w:val="right"/>
              <w:rPr>
                <w:rFonts w:ascii="sans-serif" w:hAnsi="sans-serif"/>
                <w:color w:val="000000"/>
                <w:sz w:val="18"/>
              </w:rPr>
            </w:pPr>
            <w:r>
              <w:rPr>
                <w:rFonts w:ascii="sans-serif" w:hAnsi="sans-serif"/>
                <w:color w:val="000000"/>
                <w:sz w:val="18"/>
              </w:rPr>
              <w:t>(1,541,698)</w:t>
            </w:r>
          </w:p>
        </w:tc>
      </w:tr>
      <w:tr>
        <w:trPr/>
        <w:tc>
          <w:tcPr>
            <w:tcW w:w="6196" w:type="dxa"/>
            <w:tcBorders/>
            <w:tcMar>
              <w:top w:w="0" w:type="dxa"/>
              <w:left w:w="0" w:type="dxa"/>
              <w:bottom w:w="0" w:type="dxa"/>
              <w:right w:w="0" w:type="dxa"/>
            </w:tcMar>
            <w:vAlign w:val="center"/>
          </w:tcPr>
          <w:p>
            <w:pPr>
              <w:pStyle w:val="TableContents"/>
              <w:bidi w:val="0"/>
              <w:spacing w:before="1" w:after="283"/>
              <w:ind w:left="0" w:right="0" w:firstLine="290"/>
              <w:jc w:val="left"/>
              <w:rPr>
                <w:rFonts w:ascii="sans-serif" w:hAnsi="sans-serif"/>
                <w:color w:val="000000"/>
                <w:sz w:val="18"/>
              </w:rPr>
            </w:pPr>
            <w:r>
              <w:rPr>
                <w:rFonts w:ascii="sans-serif" w:hAnsi="sans-serif"/>
                <w:color w:val="000000"/>
                <w:sz w:val="18"/>
              </w:rPr>
              <w:t>Customer deposits</w:t>
            </w:r>
          </w:p>
        </w:tc>
        <w:tc>
          <w:tcPr>
            <w:tcW w:w="199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1,186,000</w:t>
            </w:r>
          </w:p>
        </w:tc>
        <w:tc>
          <w:tcPr>
            <w:tcW w:w="2010" w:type="dxa"/>
            <w:tcBorders/>
            <w:tcMar>
              <w:top w:w="0" w:type="dxa"/>
              <w:left w:w="0" w:type="dxa"/>
              <w:bottom w:w="0" w:type="dxa"/>
              <w:right w:w="0" w:type="dxa"/>
            </w:tcMar>
            <w:vAlign w:val="center"/>
          </w:tcPr>
          <w:p>
            <w:pPr>
              <w:pStyle w:val="TableContents"/>
              <w:bidi w:val="0"/>
              <w:spacing w:before="0" w:after="283"/>
              <w:ind w:left="0" w:right="0" w:firstLine="294"/>
              <w:jc w:val="right"/>
              <w:rPr>
                <w:rFonts w:ascii="sans-serif" w:hAnsi="sans-serif"/>
                <w:color w:val="000000"/>
                <w:sz w:val="18"/>
              </w:rPr>
            </w:pPr>
            <w:r>
              <w:rPr>
                <w:rFonts w:ascii="sans-serif" w:hAnsi="sans-serif"/>
                <w:color w:val="000000"/>
                <w:sz w:val="18"/>
              </w:rPr>
              <w:t>1,194,142</w:t>
            </w:r>
          </w:p>
        </w:tc>
      </w:tr>
      <w:tr>
        <w:trPr/>
        <w:tc>
          <w:tcPr>
            <w:tcW w:w="6196" w:type="dxa"/>
            <w:tcBorders/>
            <w:tcMar>
              <w:top w:w="0" w:type="dxa"/>
              <w:left w:w="0" w:type="dxa"/>
              <w:bottom w:w="0" w:type="dxa"/>
              <w:right w:w="0" w:type="dxa"/>
            </w:tcMar>
            <w:vAlign w:val="center"/>
          </w:tcPr>
          <w:p>
            <w:pPr>
              <w:pStyle w:val="TableContents"/>
              <w:bidi w:val="0"/>
              <w:spacing w:before="7" w:after="283"/>
              <w:ind w:left="0" w:right="0" w:firstLine="294"/>
              <w:jc w:val="left"/>
              <w:rPr>
                <w:rFonts w:ascii="sans-serif" w:hAnsi="sans-serif"/>
                <w:color w:val="000000"/>
                <w:sz w:val="18"/>
              </w:rPr>
            </w:pPr>
            <w:r>
              <w:rPr>
                <w:rFonts w:ascii="sans-serif" w:hAnsi="sans-serif"/>
                <w:color w:val="000000"/>
                <w:sz w:val="18"/>
              </w:rPr>
              <w:t>Other</w:t>
            </w:r>
          </w:p>
        </w:tc>
        <w:tc>
          <w:tcPr>
            <w:tcW w:w="199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(2,677,997)</w:t>
            </w:r>
          </w:p>
        </w:tc>
        <w:tc>
          <w:tcPr>
            <w:tcW w:w="2010" w:type="dxa"/>
            <w:tcBorders>
              <w:bottom w:val="single" w:sz="4" w:space="0" w:color="000000"/>
            </w:tcBorders>
            <w:tcMar>
              <w:top w:w="0" w:type="dxa"/>
              <w:left w:w="0" w:type="dxa"/>
              <w:right w:w="0" w:type="dxa"/>
            </w:tcMar>
            <w:vAlign w:val="center"/>
          </w:tcPr>
          <w:p>
            <w:pPr>
              <w:pStyle w:val="TableContents"/>
              <w:bidi w:val="0"/>
              <w:spacing w:before="0" w:after="283"/>
              <w:ind w:left="0" w:right="0" w:firstLine="462"/>
              <w:jc w:val="right"/>
              <w:rPr>
                <w:rFonts w:ascii="sans-serif" w:hAnsi="sans-serif"/>
                <w:color w:val="000000"/>
                <w:sz w:val="18"/>
              </w:rPr>
            </w:pPr>
            <w:r>
              <w:rPr>
                <w:rFonts w:ascii="sans-serif" w:hAnsi="sans-serif"/>
                <w:color w:val="000000"/>
                <w:sz w:val="18"/>
              </w:rPr>
              <w:t>(1,539,836)</w:t>
            </w:r>
          </w:p>
        </w:tc>
      </w:tr>
      <w:tr>
        <w:trPr/>
        <w:tc>
          <w:tcPr>
            <w:tcW w:w="6196" w:type="dxa"/>
            <w:tcBorders/>
            <w:tcMar>
              <w:top w:w="0" w:type="dxa"/>
              <w:left w:w="0" w:type="dxa"/>
              <w:bottom w:w="0" w:type="dxa"/>
              <w:right w:w="0" w:type="dxa"/>
            </w:tcMar>
            <w:vAlign w:val="center"/>
          </w:tcPr>
          <w:p>
            <w:pPr>
              <w:pStyle w:val="TableContents"/>
              <w:bidi w:val="0"/>
              <w:spacing w:before="27" w:after="283"/>
              <w:ind w:left="0" w:right="0" w:firstLine="395"/>
              <w:jc w:val="left"/>
              <w:rPr>
                <w:rFonts w:ascii="sans-serif" w:hAnsi="sans-serif"/>
                <w:b/>
                <w:color w:val="000000"/>
                <w:sz w:val="18"/>
              </w:rPr>
            </w:pPr>
            <w:r>
              <w:rPr>
                <w:rFonts w:ascii="sans-serif" w:hAnsi="sans-serif"/>
                <w:b/>
                <w:color w:val="000000"/>
                <w:sz w:val="18"/>
              </w:rPr>
              <w:t>Net cash provided by operating activities</w:t>
            </w:r>
          </w:p>
        </w:tc>
        <w:tc>
          <w:tcPr>
            <w:tcW w:w="1999" w:type="dxa"/>
            <w:tcBorders>
              <w:bottom w:val="single" w:sz="4" w:space="0" w:color="000000"/>
            </w:tcBorders>
            <w:tcMar>
              <w:top w:w="0" w:type="dxa"/>
              <w:left w:w="0" w:type="dxa"/>
              <w:right w:w="0" w:type="dxa"/>
            </w:tcMar>
            <w:vAlign w:val="center"/>
          </w:tcPr>
          <w:p>
            <w:pPr>
              <w:pStyle w:val="TableContents"/>
              <w:bidi w:val="0"/>
              <w:spacing w:before="37" w:after="283"/>
              <w:ind w:left="0" w:right="0" w:firstLine="395"/>
              <w:jc w:val="right"/>
              <w:rPr>
                <w:rFonts w:ascii="sans-serif" w:hAnsi="sans-serif"/>
                <w:b/>
                <w:color w:val="000000"/>
                <w:sz w:val="18"/>
              </w:rPr>
            </w:pPr>
            <w:r>
              <w:rPr>
                <w:rFonts w:ascii="sans-serif" w:hAnsi="sans-serif"/>
                <w:b/>
                <w:color w:val="000000"/>
                <w:sz w:val="18"/>
              </w:rPr>
              <w:t>33,637,464</w:t>
            </w:r>
          </w:p>
        </w:tc>
        <w:tc>
          <w:tcPr>
            <w:tcW w:w="2010" w:type="dxa"/>
            <w:tcBorders>
              <w:bottom w:val="single" w:sz="4" w:space="0" w:color="000000"/>
            </w:tcBorders>
            <w:tcMar>
              <w:top w:w="0" w:type="dxa"/>
              <w:left w:w="0" w:type="dxa"/>
              <w:right w:w="0" w:type="dxa"/>
            </w:tcMar>
            <w:vAlign w:val="center"/>
          </w:tcPr>
          <w:p>
            <w:pPr>
              <w:pStyle w:val="TableContents"/>
              <w:bidi w:val="0"/>
              <w:spacing w:before="37" w:after="283"/>
              <w:ind w:left="0" w:right="0" w:firstLine="78"/>
              <w:jc w:val="right"/>
              <w:rPr>
                <w:rFonts w:ascii="sans-serif" w:hAnsi="sans-serif"/>
                <w:b/>
                <w:color w:val="000000"/>
                <w:sz w:val="18"/>
              </w:rPr>
            </w:pPr>
            <w:r>
              <w:rPr>
                <w:rFonts w:ascii="sans-serif" w:hAnsi="sans-serif"/>
                <w:b/>
                <w:color w:val="000000"/>
                <w:sz w:val="18"/>
              </w:rPr>
              <w:t>30,560,774</w:t>
            </w:r>
          </w:p>
        </w:tc>
      </w:tr>
      <w:tr>
        <w:trPr/>
        <w:tc>
          <w:tcPr>
            <w:tcW w:w="6196" w:type="dxa"/>
            <w:tcBorders/>
            <w:tcMar>
              <w:top w:w="0" w:type="dxa"/>
              <w:left w:w="0" w:type="dxa"/>
              <w:bottom w:w="0" w:type="dxa"/>
              <w:right w:w="0" w:type="dxa"/>
            </w:tcMar>
            <w:vAlign w:val="center"/>
          </w:tcPr>
          <w:p>
            <w:pPr>
              <w:pStyle w:val="TableContents"/>
              <w:bidi w:val="0"/>
              <w:spacing w:before="27" w:after="283"/>
              <w:ind w:left="0" w:right="0" w:firstLine="78"/>
              <w:jc w:val="left"/>
              <w:rPr>
                <w:rFonts w:ascii="sans-serif" w:hAnsi="sans-serif"/>
                <w:color w:val="000000"/>
                <w:sz w:val="18"/>
              </w:rPr>
            </w:pPr>
            <w:r>
              <w:rPr>
                <w:rFonts w:ascii="sans-serif" w:hAnsi="sans-serif"/>
                <w:color w:val="000000"/>
                <w:sz w:val="18"/>
              </w:rPr>
              <w:t>CASH FLOWS FROM INVESTING ACTIVITIES:</w:t>
            </w:r>
          </w:p>
        </w:tc>
        <w:tc>
          <w:tcPr>
            <w:tcW w:w="1999"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0"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r>
      <w:tr>
        <w:trPr/>
        <w:tc>
          <w:tcPr>
            <w:tcW w:w="6196" w:type="dxa"/>
            <w:tcBorders/>
            <w:tcMar>
              <w:top w:w="0" w:type="dxa"/>
              <w:left w:w="0" w:type="dxa"/>
              <w:bottom w:w="0" w:type="dxa"/>
              <w:right w:w="0" w:type="dxa"/>
            </w:tcMar>
            <w:vAlign w:val="center"/>
          </w:tcPr>
          <w:p>
            <w:pPr>
              <w:pStyle w:val="TableContents"/>
              <w:bidi w:val="0"/>
              <w:spacing w:before="4" w:after="283"/>
              <w:ind w:left="0" w:right="0" w:firstLine="290"/>
              <w:jc w:val="left"/>
              <w:rPr>
                <w:rFonts w:ascii="sans-serif" w:hAnsi="sans-serif"/>
                <w:color w:val="000000"/>
                <w:sz w:val="18"/>
              </w:rPr>
            </w:pPr>
            <w:r>
              <w:rPr>
                <w:rFonts w:ascii="sans-serif" w:hAnsi="sans-serif"/>
                <w:color w:val="000000"/>
                <w:sz w:val="18"/>
              </w:rPr>
              <w:t>Capitalized software development costs</w:t>
            </w:r>
          </w:p>
        </w:tc>
        <w:tc>
          <w:tcPr>
            <w:tcW w:w="1999" w:type="dxa"/>
            <w:tcBorders/>
            <w:tcMar>
              <w:top w:w="0" w:type="dxa"/>
              <w:left w:w="0" w:type="dxa"/>
              <w:bottom w:w="0" w:type="dxa"/>
              <w:right w:w="0" w:type="dxa"/>
            </w:tcMar>
            <w:vAlign w:val="center"/>
          </w:tcPr>
          <w:p>
            <w:pPr>
              <w:pStyle w:val="TableContents"/>
              <w:bidi w:val="0"/>
              <w:spacing w:before="14" w:after="283"/>
              <w:ind w:left="0" w:right="0" w:firstLine="290"/>
              <w:jc w:val="right"/>
              <w:rPr>
                <w:rFonts w:ascii="sans-serif" w:hAnsi="sans-serif"/>
                <w:color w:val="000000"/>
                <w:sz w:val="18"/>
              </w:rPr>
            </w:pPr>
            <w:r>
              <w:rPr>
                <w:rFonts w:ascii="sans-serif" w:hAnsi="sans-serif"/>
                <w:color w:val="000000"/>
                <w:sz w:val="18"/>
              </w:rPr>
              <w:t>(19,305,721)</w:t>
            </w:r>
          </w:p>
        </w:tc>
        <w:tc>
          <w:tcPr>
            <w:tcW w:w="2010" w:type="dxa"/>
            <w:tcBorders/>
            <w:tcMar>
              <w:top w:w="0" w:type="dxa"/>
              <w:left w:w="0" w:type="dxa"/>
              <w:bottom w:w="0" w:type="dxa"/>
              <w:right w:w="0" w:type="dxa"/>
            </w:tcMar>
            <w:vAlign w:val="center"/>
          </w:tcPr>
          <w:p>
            <w:pPr>
              <w:pStyle w:val="TableContents"/>
              <w:bidi w:val="0"/>
              <w:spacing w:before="0" w:after="283"/>
              <w:ind w:left="0" w:right="0" w:firstLine="148"/>
              <w:jc w:val="right"/>
              <w:rPr>
                <w:rFonts w:ascii="sans-serif" w:hAnsi="sans-serif"/>
                <w:color w:val="000000"/>
                <w:sz w:val="18"/>
              </w:rPr>
            </w:pPr>
            <w:r>
              <w:rPr>
                <w:rFonts w:ascii="sans-serif" w:hAnsi="sans-serif"/>
                <w:color w:val="000000"/>
                <w:sz w:val="18"/>
              </w:rPr>
              <w:t>(14,286,164)</w:t>
            </w:r>
          </w:p>
        </w:tc>
      </w:tr>
      <w:tr>
        <w:trPr/>
        <w:tc>
          <w:tcPr>
            <w:tcW w:w="6196" w:type="dxa"/>
            <w:tcBorders/>
            <w:tcMar>
              <w:top w:w="0" w:type="dxa"/>
              <w:left w:w="0" w:type="dxa"/>
              <w:bottom w:w="0" w:type="dxa"/>
              <w:right w:w="0" w:type="dxa"/>
            </w:tcMar>
            <w:vAlign w:val="center"/>
          </w:tcPr>
          <w:p>
            <w:pPr>
              <w:pStyle w:val="TableContents"/>
              <w:bidi w:val="0"/>
              <w:spacing w:before="0" w:after="283"/>
              <w:ind w:left="0" w:right="0" w:firstLine="381"/>
              <w:jc w:val="left"/>
              <w:rPr>
                <w:rFonts w:ascii="sans-serif" w:hAnsi="sans-serif"/>
                <w:color w:val="000000"/>
                <w:sz w:val="18"/>
              </w:rPr>
            </w:pPr>
            <w:r>
              <w:rPr>
                <w:rFonts w:ascii="sans-serif" w:hAnsi="sans-serif"/>
                <w:color w:val="000000"/>
                <w:sz w:val="18"/>
              </w:rPr>
              <w:t>Purchases of property and equipment</w:t>
            </w:r>
          </w:p>
        </w:tc>
        <w:tc>
          <w:tcPr>
            <w:tcW w:w="1999" w:type="dxa"/>
            <w:tcBorders>
              <w:bottom w:val="single" w:sz="4" w:space="0" w:color="000000"/>
            </w:tcBorders>
            <w:tcMar>
              <w:top w:w="0" w:type="dxa"/>
              <w:left w:w="0" w:type="dxa"/>
              <w:right w:w="0" w:type="dxa"/>
            </w:tcMar>
            <w:vAlign w:val="center"/>
          </w:tcPr>
          <w:p>
            <w:pPr>
              <w:pStyle w:val="TableContents"/>
              <w:bidi w:val="0"/>
              <w:spacing w:before="0" w:after="283"/>
              <w:ind w:left="0" w:right="0" w:firstLine="381"/>
              <w:jc w:val="right"/>
              <w:rPr>
                <w:rFonts w:ascii="sans-serif" w:hAnsi="sans-serif"/>
                <w:color w:val="000000"/>
                <w:sz w:val="18"/>
              </w:rPr>
            </w:pPr>
            <w:r>
              <w:rPr>
                <w:rFonts w:ascii="sans-serif" w:hAnsi="sans-serif"/>
                <w:color w:val="000000"/>
                <w:sz w:val="18"/>
              </w:rPr>
              <w:t>(1,051,279)</w:t>
            </w:r>
          </w:p>
        </w:tc>
        <w:tc>
          <w:tcPr>
            <w:tcW w:w="2010" w:type="dxa"/>
            <w:tcBorders>
              <w:bottom w:val="single" w:sz="4" w:space="0" w:color="000000"/>
            </w:tcBorders>
            <w:tcMar>
              <w:top w:w="0" w:type="dxa"/>
              <w:left w:w="0" w:type="dxa"/>
              <w:right w:w="0" w:type="dxa"/>
            </w:tcMar>
            <w:vAlign w:val="center"/>
          </w:tcPr>
          <w:p>
            <w:pPr>
              <w:pStyle w:val="TableContents"/>
              <w:bidi w:val="0"/>
              <w:spacing w:before="0" w:after="283"/>
              <w:ind w:left="0" w:right="0" w:firstLine="462"/>
              <w:jc w:val="right"/>
              <w:rPr>
                <w:rFonts w:ascii="sans-serif" w:hAnsi="sans-serif"/>
                <w:color w:val="000000"/>
                <w:sz w:val="18"/>
              </w:rPr>
            </w:pPr>
            <w:r>
              <w:rPr>
                <w:rFonts w:ascii="sans-serif" w:hAnsi="sans-serif"/>
                <w:color w:val="000000"/>
                <w:sz w:val="18"/>
              </w:rPr>
              <w:t>(1,673,282)</w:t>
            </w:r>
          </w:p>
        </w:tc>
      </w:tr>
      <w:tr>
        <w:trPr/>
        <w:tc>
          <w:tcPr>
            <w:tcW w:w="6196" w:type="dxa"/>
            <w:tcBorders/>
            <w:tcMar>
              <w:top w:w="0" w:type="dxa"/>
              <w:left w:w="0" w:type="dxa"/>
              <w:bottom w:w="0" w:type="dxa"/>
              <w:right w:w="0" w:type="dxa"/>
            </w:tcMar>
            <w:vAlign w:val="center"/>
          </w:tcPr>
          <w:p>
            <w:pPr>
              <w:pStyle w:val="TableContents"/>
              <w:bidi w:val="0"/>
              <w:spacing w:before="27" w:after="283"/>
              <w:ind w:left="0" w:right="0" w:firstLine="283"/>
              <w:jc w:val="left"/>
              <w:rPr>
                <w:rFonts w:ascii="sans-serif" w:hAnsi="sans-serif"/>
                <w:b/>
                <w:color w:val="000000"/>
                <w:sz w:val="18"/>
              </w:rPr>
            </w:pPr>
            <w:r>
              <w:rPr>
                <w:rFonts w:ascii="sans-serif" w:hAnsi="sans-serif"/>
                <w:b/>
                <w:color w:val="000000"/>
                <w:sz w:val="18"/>
              </w:rPr>
              <w:t>Net cash used in investing activities</w:t>
            </w:r>
          </w:p>
        </w:tc>
        <w:tc>
          <w:tcPr>
            <w:tcW w:w="1999" w:type="dxa"/>
            <w:tcBorders>
              <w:bottom w:val="single" w:sz="4" w:space="0" w:color="000000"/>
            </w:tcBorders>
            <w:tcMar>
              <w:top w:w="0" w:type="dxa"/>
              <w:left w:w="0" w:type="dxa"/>
              <w:right w:w="0" w:type="dxa"/>
            </w:tcMar>
            <w:vAlign w:val="center"/>
          </w:tcPr>
          <w:p>
            <w:pPr>
              <w:pStyle w:val="TableContents"/>
              <w:bidi w:val="0"/>
              <w:spacing w:before="18" w:after="283"/>
              <w:ind w:left="0" w:right="0" w:firstLine="283"/>
              <w:jc w:val="right"/>
              <w:rPr>
                <w:rFonts w:ascii="sans-serif" w:hAnsi="sans-serif"/>
                <w:b/>
                <w:color w:val="000000"/>
                <w:sz w:val="18"/>
              </w:rPr>
            </w:pPr>
            <w:r>
              <w:rPr>
                <w:rFonts w:ascii="sans-serif" w:hAnsi="sans-serif"/>
                <w:b/>
                <w:color w:val="000000"/>
                <w:sz w:val="18"/>
              </w:rPr>
              <w:t>(20,357,000)</w:t>
            </w:r>
          </w:p>
        </w:tc>
        <w:tc>
          <w:tcPr>
            <w:tcW w:w="2010" w:type="dxa"/>
            <w:tcBorders>
              <w:bottom w:val="single" w:sz="4" w:space="0" w:color="000000"/>
            </w:tcBorders>
            <w:tcMar>
              <w:top w:w="0" w:type="dxa"/>
              <w:left w:w="0" w:type="dxa"/>
              <w:right w:w="0" w:type="dxa"/>
            </w:tcMar>
            <w:vAlign w:val="center"/>
          </w:tcPr>
          <w:p>
            <w:pPr>
              <w:pStyle w:val="TableContents"/>
              <w:bidi w:val="0"/>
              <w:spacing w:before="18" w:after="283"/>
              <w:ind w:left="0" w:right="0" w:firstLine="78"/>
              <w:jc w:val="right"/>
              <w:rPr>
                <w:rFonts w:ascii="sans-serif" w:hAnsi="sans-serif"/>
                <w:b/>
                <w:color w:val="000000"/>
                <w:sz w:val="18"/>
              </w:rPr>
            </w:pPr>
            <w:r>
              <w:rPr>
                <w:rFonts w:ascii="sans-serif" w:hAnsi="sans-serif"/>
                <w:b/>
                <w:color w:val="000000"/>
                <w:sz w:val="18"/>
              </w:rPr>
              <w:t>(15,959,446)</w:t>
            </w:r>
          </w:p>
        </w:tc>
      </w:tr>
      <w:tr>
        <w:trPr/>
        <w:tc>
          <w:tcPr>
            <w:tcW w:w="6196" w:type="dxa"/>
            <w:tcBorders/>
            <w:tcMar>
              <w:top w:w="0" w:type="dxa"/>
              <w:left w:w="0" w:type="dxa"/>
              <w:bottom w:w="0" w:type="dxa"/>
              <w:right w:w="0" w:type="dxa"/>
            </w:tcMar>
            <w:vAlign w:val="center"/>
          </w:tcPr>
          <w:p>
            <w:pPr>
              <w:pStyle w:val="TableContents"/>
              <w:bidi w:val="0"/>
              <w:spacing w:before="25" w:after="283"/>
              <w:ind w:left="0" w:right="0" w:firstLine="78"/>
              <w:jc w:val="left"/>
              <w:rPr>
                <w:rFonts w:ascii="sans-serif" w:hAnsi="sans-serif"/>
                <w:color w:val="000000"/>
                <w:sz w:val="18"/>
              </w:rPr>
            </w:pPr>
            <w:r>
              <w:rPr>
                <w:rFonts w:ascii="sans-serif" w:hAnsi="sans-serif"/>
                <w:color w:val="000000"/>
                <w:sz w:val="18"/>
              </w:rPr>
              <w:t>CASH FLOWS FROM FINANCING ACTIVITIES:</w:t>
            </w:r>
          </w:p>
        </w:tc>
        <w:tc>
          <w:tcPr>
            <w:tcW w:w="1999"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0" w:type="dxa"/>
            <w:tcBorders/>
            <w:tcMar>
              <w:top w:w="0" w:type="dxa"/>
              <w:left w:w="0" w:type="dxa"/>
              <w:bottom w:w="0" w:type="dxa"/>
              <w:right w:w="0" w:type="dxa"/>
            </w:tcMar>
            <w:vAlign w:val="center"/>
          </w:tcPr>
          <w:p>
            <w:pPr>
              <w:pStyle w:val="TableContents"/>
              <w:bidi w:val="0"/>
              <w:spacing w:before="0" w:after="283"/>
              <w:ind w:left="0" w:right="0" w:firstLine="148"/>
              <w:jc w:val="left"/>
              <w:rPr/>
            </w:pPr>
            <w:r>
              <w:rPr/>
              <w:t> </w:t>
            </w:r>
          </w:p>
        </w:tc>
      </w:tr>
      <w:tr>
        <w:trPr/>
        <w:tc>
          <w:tcPr>
            <w:tcW w:w="6196" w:type="dxa"/>
            <w:tcBorders/>
            <w:tcMar>
              <w:top w:w="0" w:type="dxa"/>
              <w:left w:w="0" w:type="dxa"/>
              <w:bottom w:w="0" w:type="dxa"/>
              <w:right w:w="0" w:type="dxa"/>
            </w:tcMar>
            <w:vAlign w:val="center"/>
          </w:tcPr>
          <w:p>
            <w:pPr>
              <w:pStyle w:val="TableContents"/>
              <w:bidi w:val="0"/>
              <w:spacing w:before="4" w:after="283"/>
              <w:ind w:left="0" w:right="0" w:firstLine="381"/>
              <w:jc w:val="left"/>
              <w:rPr>
                <w:rFonts w:ascii="sans-serif" w:hAnsi="sans-serif"/>
                <w:color w:val="000000"/>
                <w:sz w:val="18"/>
              </w:rPr>
            </w:pPr>
            <w:r>
              <w:rPr>
                <w:rFonts w:ascii="sans-serif" w:hAnsi="sans-serif"/>
                <w:color w:val="000000"/>
                <w:sz w:val="18"/>
              </w:rPr>
              <w:t>Repayment of debt</w:t>
            </w:r>
          </w:p>
        </w:tc>
        <w:tc>
          <w:tcPr>
            <w:tcW w:w="1999" w:type="dxa"/>
            <w:tcBorders>
              <w:bottom w:val="single" w:sz="4" w:space="0" w:color="000000"/>
            </w:tcBorders>
            <w:tcMar>
              <w:top w:w="0" w:type="dxa"/>
              <w:left w:w="0" w:type="dxa"/>
              <w:right w:w="0" w:type="dxa"/>
            </w:tcMar>
            <w:vAlign w:val="center"/>
          </w:tcPr>
          <w:p>
            <w:pPr>
              <w:pStyle w:val="TableContents"/>
              <w:bidi w:val="0"/>
              <w:spacing w:before="0" w:after="283"/>
              <w:ind w:left="0" w:right="0" w:firstLine="381"/>
              <w:jc w:val="right"/>
              <w:rPr>
                <w:rFonts w:ascii="sans-serif" w:hAnsi="sans-serif"/>
                <w:color w:val="000000"/>
                <w:sz w:val="18"/>
              </w:rPr>
            </w:pPr>
            <w:r>
              <w:rPr>
                <w:rFonts w:ascii="sans-serif" w:hAnsi="sans-serif"/>
                <w:color w:val="000000"/>
                <w:sz w:val="18"/>
              </w:rPr>
              <w:t>(8,994,103)</w:t>
            </w:r>
          </w:p>
        </w:tc>
        <w:tc>
          <w:tcPr>
            <w:tcW w:w="2010" w:type="dxa"/>
            <w:tcBorders>
              <w:bottom w:val="single" w:sz="4" w:space="0" w:color="000000"/>
            </w:tcBorders>
            <w:tcMar>
              <w:top w:w="0" w:type="dxa"/>
              <w:left w:w="0" w:type="dxa"/>
              <w:right w:w="0" w:type="dxa"/>
            </w:tcMar>
            <w:vAlign w:val="center"/>
          </w:tcPr>
          <w:p>
            <w:pPr>
              <w:pStyle w:val="TableContents"/>
              <w:bidi w:val="0"/>
              <w:spacing w:before="0" w:after="283"/>
              <w:ind w:left="0" w:right="0" w:firstLine="494"/>
              <w:jc w:val="right"/>
              <w:rPr>
                <w:rFonts w:ascii="sans-serif" w:hAnsi="sans-serif"/>
                <w:color w:val="000000"/>
                <w:sz w:val="18"/>
              </w:rPr>
            </w:pPr>
            <w:r>
              <w:rPr>
                <w:rFonts w:ascii="sans-serif" w:hAnsi="sans-serif"/>
                <w:color w:val="000000"/>
                <w:sz w:val="18"/>
              </w:rPr>
              <w:t>(12,202,391)</w:t>
            </w:r>
          </w:p>
        </w:tc>
      </w:tr>
      <w:tr>
        <w:trPr/>
        <w:tc>
          <w:tcPr>
            <w:tcW w:w="6196" w:type="dxa"/>
            <w:tcBorders/>
            <w:tcMar>
              <w:top w:w="0" w:type="dxa"/>
              <w:left w:w="0" w:type="dxa"/>
              <w:bottom w:w="0" w:type="dxa"/>
              <w:right w:w="0" w:type="dxa"/>
            </w:tcMar>
            <w:vAlign w:val="center"/>
          </w:tcPr>
          <w:p>
            <w:pPr>
              <w:pStyle w:val="TableContents"/>
              <w:bidi w:val="0"/>
              <w:spacing w:before="27" w:after="283"/>
              <w:ind w:left="0" w:right="0" w:firstLine="374"/>
              <w:jc w:val="left"/>
              <w:rPr>
                <w:rFonts w:ascii="sans-serif" w:hAnsi="sans-serif"/>
                <w:b/>
                <w:color w:val="000000"/>
                <w:sz w:val="18"/>
              </w:rPr>
            </w:pPr>
            <w:r>
              <w:rPr>
                <w:rFonts w:ascii="sans-serif" w:hAnsi="sans-serif"/>
                <w:b/>
                <w:color w:val="000000"/>
                <w:sz w:val="18"/>
              </w:rPr>
              <w:t>Net cash used in financing activities</w:t>
            </w:r>
          </w:p>
        </w:tc>
        <w:tc>
          <w:tcPr>
            <w:tcW w:w="1999" w:type="dxa"/>
            <w:tcBorders>
              <w:bottom w:val="single" w:sz="4" w:space="0" w:color="000000"/>
            </w:tcBorders>
            <w:tcMar>
              <w:top w:w="0" w:type="dxa"/>
              <w:left w:w="0" w:type="dxa"/>
              <w:right w:w="0" w:type="dxa"/>
            </w:tcMar>
            <w:vAlign w:val="center"/>
          </w:tcPr>
          <w:p>
            <w:pPr>
              <w:pStyle w:val="TableContents"/>
              <w:bidi w:val="0"/>
              <w:spacing w:before="15" w:after="283"/>
              <w:ind w:left="0" w:right="0" w:firstLine="374"/>
              <w:jc w:val="right"/>
              <w:rPr>
                <w:rFonts w:ascii="sans-serif" w:hAnsi="sans-serif"/>
                <w:b/>
                <w:color w:val="000000"/>
                <w:sz w:val="18"/>
              </w:rPr>
            </w:pPr>
            <w:r>
              <w:rPr>
                <w:rFonts w:ascii="sans-serif" w:hAnsi="sans-serif"/>
                <w:b/>
                <w:color w:val="000000"/>
                <w:sz w:val="18"/>
              </w:rPr>
              <w:t>(8,994,103)</w:t>
            </w:r>
          </w:p>
        </w:tc>
        <w:tc>
          <w:tcPr>
            <w:tcW w:w="2010" w:type="dxa"/>
            <w:tcBorders>
              <w:bottom w:val="single" w:sz="4" w:space="0" w:color="000000"/>
            </w:tcBorders>
            <w:tcMar>
              <w:top w:w="0" w:type="dxa"/>
              <w:left w:w="0" w:type="dxa"/>
              <w:right w:w="0" w:type="dxa"/>
            </w:tcMar>
            <w:vAlign w:val="center"/>
          </w:tcPr>
          <w:p>
            <w:pPr>
              <w:pStyle w:val="TableContents"/>
              <w:bidi w:val="0"/>
              <w:spacing w:before="15" w:after="283"/>
              <w:jc w:val="right"/>
              <w:rPr>
                <w:rFonts w:ascii="sans-serif" w:hAnsi="sans-serif"/>
                <w:b/>
                <w:color w:val="000000"/>
                <w:sz w:val="18"/>
              </w:rPr>
            </w:pPr>
            <w:r>
              <w:rPr>
                <w:rFonts w:ascii="sans-serif" w:hAnsi="sans-serif"/>
                <w:b/>
                <w:color w:val="000000"/>
                <w:sz w:val="18"/>
              </w:rPr>
              <w:t>(12,202,391)</w:t>
            </w:r>
          </w:p>
        </w:tc>
      </w:tr>
      <w:tr>
        <w:trPr/>
        <w:tc>
          <w:tcPr>
            <w:tcW w:w="6196" w:type="dxa"/>
            <w:tcBorders/>
            <w:tcMar>
              <w:top w:w="0" w:type="dxa"/>
              <w:left w:w="0" w:type="dxa"/>
              <w:bottom w:w="0" w:type="dxa"/>
              <w:right w:w="0" w:type="dxa"/>
            </w:tcMar>
            <w:vAlign w:val="center"/>
          </w:tcPr>
          <w:p>
            <w:pPr>
              <w:pStyle w:val="TableContents"/>
              <w:bidi w:val="0"/>
              <w:spacing w:before="59" w:after="283"/>
              <w:jc w:val="left"/>
              <w:rPr/>
            </w:pPr>
            <w:r>
              <w:rPr/>
              <w:t> </w:t>
            </w:r>
          </w:p>
          <w:p>
            <w:pPr>
              <w:pStyle w:val="TableContents"/>
              <w:bidi w:val="0"/>
              <w:spacing w:before="1" w:after="283"/>
              <w:jc w:val="left"/>
              <w:rPr>
                <w:rFonts w:ascii="sans-serif" w:hAnsi="sans-serif"/>
                <w:color w:val="000000"/>
                <w:sz w:val="18"/>
              </w:rPr>
            </w:pPr>
            <w:r>
              <w:rPr>
                <w:rFonts w:ascii="sans-serif" w:hAnsi="sans-serif"/>
                <w:color w:val="000000"/>
                <w:sz w:val="18"/>
              </w:rPr>
              <w:t>NET CHANGE IN CASH AND CASH EQUIVALENTS</w:t>
            </w:r>
          </w:p>
        </w:tc>
        <w:tc>
          <w:tcPr>
            <w:tcW w:w="1999" w:type="dxa"/>
            <w:tcBorders/>
            <w:tcMar>
              <w:top w:w="0" w:type="dxa"/>
              <w:left w:w="0" w:type="dxa"/>
              <w:bottom w:w="0" w:type="dxa"/>
              <w:right w:w="0" w:type="dxa"/>
            </w:tcMar>
            <w:vAlign w:val="center"/>
          </w:tcPr>
          <w:p>
            <w:pPr>
              <w:pStyle w:val="TableContents"/>
              <w:bidi w:val="0"/>
              <w:spacing w:before="47" w:after="283"/>
              <w:jc w:val="right"/>
              <w:rPr/>
            </w:pPr>
            <w:r>
              <w:rPr/>
              <w:t> </w:t>
            </w:r>
          </w:p>
          <w:p>
            <w:pPr>
              <w:pStyle w:val="TableContents"/>
              <w:bidi w:val="0"/>
              <w:spacing w:before="1" w:after="283"/>
              <w:jc w:val="right"/>
              <w:rPr>
                <w:rFonts w:ascii="sans-serif" w:hAnsi="sans-serif"/>
                <w:color w:val="000000"/>
                <w:sz w:val="18"/>
              </w:rPr>
            </w:pPr>
            <w:r>
              <w:rPr>
                <w:rFonts w:ascii="sans-serif" w:hAnsi="sans-serif"/>
                <w:color w:val="000000"/>
                <w:sz w:val="18"/>
              </w:rPr>
              <w:t>4,286,361</w:t>
            </w:r>
          </w:p>
        </w:tc>
        <w:tc>
          <w:tcPr>
            <w:tcW w:w="2010" w:type="dxa"/>
            <w:tcBorders/>
            <w:tcMar>
              <w:top w:w="0" w:type="dxa"/>
              <w:left w:w="0" w:type="dxa"/>
              <w:bottom w:w="0" w:type="dxa"/>
              <w:right w:w="0" w:type="dxa"/>
            </w:tcMar>
            <w:vAlign w:val="center"/>
          </w:tcPr>
          <w:p>
            <w:pPr>
              <w:pStyle w:val="TableContents"/>
              <w:bidi w:val="0"/>
              <w:spacing w:before="47" w:after="283"/>
              <w:jc w:val="left"/>
              <w:rPr/>
            </w:pPr>
            <w:r>
              <w:rPr/>
              <w:t> </w:t>
            </w:r>
          </w:p>
          <w:p>
            <w:pPr>
              <w:pStyle w:val="TableContents"/>
              <w:bidi w:val="0"/>
              <w:spacing w:before="1" w:after="283"/>
              <w:ind w:left="0" w:right="0" w:firstLine="148"/>
              <w:jc w:val="right"/>
              <w:rPr>
                <w:rFonts w:ascii="sans-serif" w:hAnsi="sans-serif"/>
                <w:color w:val="000000"/>
                <w:sz w:val="18"/>
              </w:rPr>
            </w:pPr>
            <w:r>
              <w:rPr>
                <w:rFonts w:ascii="sans-serif" w:hAnsi="sans-serif"/>
                <w:color w:val="000000"/>
                <w:sz w:val="18"/>
              </w:rPr>
              <w:t>2,398,937</w:t>
            </w:r>
          </w:p>
        </w:tc>
      </w:tr>
      <w:tr>
        <w:trPr/>
        <w:tc>
          <w:tcPr>
            <w:tcW w:w="6196" w:type="dxa"/>
            <w:tcBorders/>
            <w:tcMar>
              <w:top w:w="0" w:type="dxa"/>
              <w:left w:w="0" w:type="dxa"/>
              <w:bottom w:w="0" w:type="dxa"/>
              <w:right w:w="0" w:type="dxa"/>
            </w:tcMar>
            <w:vAlign w:val="center"/>
          </w:tcPr>
          <w:p>
            <w:pPr>
              <w:pStyle w:val="TableContents"/>
              <w:bidi w:val="0"/>
              <w:spacing w:before="5" w:after="283"/>
              <w:ind w:left="0" w:right="0" w:firstLine="148"/>
              <w:jc w:val="left"/>
              <w:rPr>
                <w:rFonts w:ascii="sans-serif" w:hAnsi="sans-serif"/>
                <w:color w:val="000000"/>
                <w:sz w:val="18"/>
              </w:rPr>
            </w:pPr>
            <w:r>
              <w:rPr>
                <w:rFonts w:ascii="sans-serif" w:hAnsi="sans-serif"/>
                <w:color w:val="000000"/>
                <w:sz w:val="18"/>
              </w:rPr>
              <w:t>CASH AND CASH EQUIVALENTS—Beginning of year</w:t>
            </w:r>
          </w:p>
        </w:tc>
        <w:tc>
          <w:tcPr>
            <w:tcW w:w="199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3,401,438</w:t>
            </w:r>
          </w:p>
        </w:tc>
        <w:tc>
          <w:tcPr>
            <w:tcW w:w="2010" w:type="dxa"/>
            <w:tcBorders>
              <w:bottom w:val="single" w:sz="4" w:space="0" w:color="000000"/>
            </w:tcBorders>
            <w:tcMar>
              <w:top w:w="0" w:type="dxa"/>
              <w:left w:w="0" w:type="dxa"/>
              <w:right w:w="0" w:type="dxa"/>
            </w:tcMar>
            <w:vAlign w:val="center"/>
          </w:tcPr>
          <w:p>
            <w:pPr>
              <w:pStyle w:val="TableContents"/>
              <w:bidi w:val="0"/>
              <w:spacing w:before="0" w:after="283"/>
              <w:ind w:left="0" w:right="0" w:firstLine="148"/>
              <w:jc w:val="right"/>
              <w:rPr>
                <w:rFonts w:ascii="sans-serif" w:hAnsi="sans-serif"/>
                <w:color w:val="000000"/>
                <w:sz w:val="18"/>
              </w:rPr>
            </w:pPr>
            <w:r>
              <w:rPr>
                <w:rFonts w:ascii="sans-serif" w:hAnsi="sans-serif"/>
                <w:color w:val="000000"/>
                <w:sz w:val="18"/>
              </w:rPr>
              <w:t>1,002,501</w:t>
            </w:r>
          </w:p>
        </w:tc>
      </w:tr>
      <w:tr>
        <w:trPr/>
        <w:tc>
          <w:tcPr>
            <w:tcW w:w="6196" w:type="dxa"/>
            <w:tcBorders/>
            <w:tcMar>
              <w:top w:w="0" w:type="dxa"/>
              <w:left w:w="0" w:type="dxa"/>
              <w:bottom w:w="0" w:type="dxa"/>
              <w:right w:w="0" w:type="dxa"/>
            </w:tcMar>
            <w:vAlign w:val="center"/>
          </w:tcPr>
          <w:p>
            <w:pPr>
              <w:pStyle w:val="TableContents"/>
              <w:bidi w:val="0"/>
              <w:spacing w:before="27" w:after="283"/>
              <w:ind w:left="0" w:right="0" w:firstLine="395"/>
              <w:jc w:val="left"/>
              <w:rPr>
                <w:rFonts w:ascii="sans-serif" w:hAnsi="sans-serif"/>
                <w:b/>
                <w:color w:val="000000"/>
                <w:sz w:val="18"/>
              </w:rPr>
            </w:pPr>
            <w:r>
              <w:rPr>
                <w:rFonts w:ascii="sans-serif" w:hAnsi="sans-serif"/>
                <w:b/>
                <w:color w:val="000000"/>
                <w:sz w:val="18"/>
              </w:rPr>
              <w:t>CASH AND CASH EQUIVALENTS —End of year</w:t>
            </w:r>
          </w:p>
        </w:tc>
        <w:tc>
          <w:tcPr>
            <w:tcW w:w="1999" w:type="dxa"/>
            <w:tcBorders>
              <w:bottom w:val="double" w:sz="4" w:space="0" w:color="000000"/>
            </w:tcBorders>
            <w:tcMar>
              <w:top w:w="0" w:type="dxa"/>
              <w:left w:w="0" w:type="dxa"/>
              <w:right w:w="0" w:type="dxa"/>
            </w:tcMar>
            <w:vAlign w:val="center"/>
          </w:tcPr>
          <w:p>
            <w:pPr>
              <w:pStyle w:val="TableContents"/>
              <w:bidi w:val="0"/>
              <w:spacing w:before="18" w:after="283"/>
              <w:ind w:left="0" w:right="0" w:firstLine="395"/>
              <w:jc w:val="right"/>
              <w:rPr>
                <w:rFonts w:ascii="sans-serif" w:hAnsi="sans-serif"/>
                <w:b/>
                <w:color w:val="000000"/>
                <w:sz w:val="18"/>
              </w:rPr>
            </w:pPr>
            <w:r>
              <w:rPr>
                <w:rFonts w:ascii="sans-serif" w:hAnsi="sans-serif"/>
                <w:b/>
                <w:color w:val="000000"/>
                <w:sz w:val="18"/>
              </w:rPr>
              <w:t>$7,687,799</w:t>
            </w:r>
          </w:p>
        </w:tc>
        <w:tc>
          <w:tcPr>
            <w:tcW w:w="2010" w:type="dxa"/>
            <w:tcBorders>
              <w:bottom w:val="double" w:sz="4" w:space="0" w:color="000000"/>
            </w:tcBorders>
            <w:tcMar>
              <w:top w:w="0" w:type="dxa"/>
              <w:left w:w="0" w:type="dxa"/>
              <w:right w:w="0" w:type="dxa"/>
            </w:tcMar>
            <w:vAlign w:val="center"/>
          </w:tcPr>
          <w:p>
            <w:pPr>
              <w:pStyle w:val="TableContents"/>
              <w:bidi w:val="0"/>
              <w:spacing w:before="18" w:after="283"/>
              <w:ind w:left="0" w:right="0" w:firstLine="78"/>
              <w:jc w:val="right"/>
              <w:rPr>
                <w:rFonts w:ascii="sans-serif" w:hAnsi="sans-serif"/>
                <w:b/>
                <w:color w:val="000000"/>
                <w:sz w:val="18"/>
              </w:rPr>
            </w:pPr>
            <w:r>
              <w:rPr>
                <w:rFonts w:ascii="sans-serif" w:hAnsi="sans-serif"/>
                <w:b/>
                <w:color w:val="000000"/>
                <w:sz w:val="18"/>
              </w:rPr>
              <w:t>$3,401,438</w:t>
            </w:r>
          </w:p>
        </w:tc>
      </w:tr>
      <w:tr>
        <w:trPr/>
        <w:tc>
          <w:tcPr>
            <w:tcW w:w="6196" w:type="dxa"/>
            <w:tcBorders/>
            <w:tcMar>
              <w:top w:w="0" w:type="dxa"/>
              <w:left w:w="0" w:type="dxa"/>
              <w:bottom w:w="0" w:type="dxa"/>
              <w:right w:w="0" w:type="dxa"/>
            </w:tcMar>
            <w:vAlign w:val="center"/>
          </w:tcPr>
          <w:p>
            <w:pPr>
              <w:pStyle w:val="TableContents"/>
              <w:bidi w:val="0"/>
              <w:spacing w:before="17" w:after="283"/>
              <w:ind w:left="0" w:right="0" w:firstLine="78"/>
              <w:jc w:val="left"/>
              <w:rPr>
                <w:rFonts w:ascii="sans-serif" w:hAnsi="sans-serif"/>
                <w:color w:val="000000"/>
                <w:sz w:val="18"/>
              </w:rPr>
            </w:pPr>
            <w:r>
              <w:rPr>
                <w:rFonts w:ascii="sans-serif" w:hAnsi="sans-serif"/>
                <w:color w:val="000000"/>
                <w:sz w:val="18"/>
              </w:rPr>
              <w:t>SUPPLEMENTAL DISCLOSURES OF CASH FLOW INFORMATION:</w:t>
            </w:r>
          </w:p>
        </w:tc>
        <w:tc>
          <w:tcPr>
            <w:tcW w:w="1999"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0" w:type="dxa"/>
            <w:tcBorders/>
            <w:tcMar>
              <w:top w:w="0" w:type="dxa"/>
              <w:left w:w="0" w:type="dxa"/>
              <w:bottom w:w="0" w:type="dxa"/>
              <w:right w:w="0" w:type="dxa"/>
            </w:tcMar>
            <w:vAlign w:val="center"/>
          </w:tcPr>
          <w:p>
            <w:pPr>
              <w:pStyle w:val="TableContents"/>
              <w:bidi w:val="0"/>
              <w:spacing w:before="0" w:after="283"/>
              <w:ind w:left="0" w:right="0" w:firstLine="78"/>
              <w:jc w:val="left"/>
              <w:rPr/>
            </w:pPr>
            <w:r>
              <w:rPr/>
              <w:t> </w:t>
            </w:r>
          </w:p>
        </w:tc>
      </w:tr>
      <w:tr>
        <w:trPr/>
        <w:tc>
          <w:tcPr>
            <w:tcW w:w="6196" w:type="dxa"/>
            <w:tcBorders/>
            <w:tcMar>
              <w:top w:w="0" w:type="dxa"/>
              <w:left w:w="0" w:type="dxa"/>
              <w:bottom w:w="0" w:type="dxa"/>
              <w:right w:w="0" w:type="dxa"/>
            </w:tcMar>
            <w:vAlign w:val="center"/>
          </w:tcPr>
          <w:p>
            <w:pPr>
              <w:pStyle w:val="TableContents"/>
              <w:bidi w:val="0"/>
              <w:spacing w:before="0" w:after="283"/>
              <w:ind w:left="0" w:right="0" w:firstLine="78"/>
              <w:jc w:val="left"/>
              <w:rPr>
                <w:rFonts w:ascii="sans-serif" w:hAnsi="sans-serif"/>
                <w:color w:val="000000"/>
                <w:sz w:val="18"/>
              </w:rPr>
            </w:pPr>
            <w:r>
              <w:rPr>
                <w:rFonts w:ascii="sans-serif" w:hAnsi="sans-serif"/>
                <w:color w:val="000000"/>
                <w:sz w:val="18"/>
              </w:rPr>
              <w:t>Cash paid for interest</w:t>
            </w:r>
          </w:p>
        </w:tc>
        <w:tc>
          <w:tcPr>
            <w:tcW w:w="199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805,897</w:t>
            </w:r>
          </w:p>
        </w:tc>
        <w:tc>
          <w:tcPr>
            <w:tcW w:w="2010"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1,202,609</w:t>
            </w:r>
          </w:p>
        </w:tc>
      </w:tr>
      <w:tr>
        <w:trPr/>
        <w:tc>
          <w:tcPr>
            <w:tcW w:w="8195" w:type="dxa"/>
            <w:gridSpan w:val="2"/>
            <w:tcBorders/>
            <w:tcMar>
              <w:top w:w="0" w:type="dxa"/>
              <w:left w:w="0" w:type="dxa"/>
              <w:bottom w:w="0" w:type="dxa"/>
              <w:right w:w="0" w:type="dxa"/>
            </w:tcMar>
            <w:vAlign w:val="center"/>
          </w:tcPr>
          <w:p>
            <w:pPr>
              <w:pStyle w:val="TableContents"/>
              <w:bidi w:val="0"/>
              <w:spacing w:before="49" w:after="283"/>
              <w:jc w:val="left"/>
              <w:rPr/>
            </w:pPr>
            <w:r>
              <w:rPr/>
              <w:t> </w:t>
            </w:r>
          </w:p>
          <w:p>
            <w:pPr>
              <w:pStyle w:val="TableContents"/>
              <w:bidi w:val="0"/>
              <w:spacing w:before="1" w:after="283"/>
              <w:jc w:val="left"/>
              <w:rPr>
                <w:rFonts w:ascii="sans-serif" w:hAnsi="sans-serif"/>
                <w:color w:val="000000"/>
                <w:sz w:val="18"/>
              </w:rPr>
            </w:pPr>
            <w:r>
              <w:rPr>
                <w:rFonts w:ascii="sans-serif" w:hAnsi="sans-serif"/>
                <w:color w:val="000000"/>
                <w:sz w:val="18"/>
              </w:rPr>
              <w:t>The accompanying notes are an integral part of these combined and consolidated financial statements.</w:t>
            </w:r>
          </w:p>
        </w:tc>
        <w:tc>
          <w:tcPr>
            <w:tcW w:w="201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1" w:after="283"/>
        <w:jc w:val="left"/>
        <w:rPr>
          <w:rFonts w:ascii="Times New Roman" w:hAnsi="Times New Roman"/>
          <w:sz w:val="20"/>
        </w:rPr>
      </w:pPr>
      <w:bookmarkStart w:id="6" w:name="kubra_holdings__inc__and_subsidiaries__a"/>
      <w:bookmarkEnd w:id="6"/>
      <w:r>
        <w:rPr>
          <w:rFonts w:ascii="sans-serif" w:hAnsi="sans-serif"/>
          <w:b/>
          <w:color w:val="000000"/>
          <w:sz w:val="23"/>
        </w:rPr>
        <w:t xml:space="preserve">KUBRA HOLDINGS, INC. AND SUBSIDIARIES, AND KUBRA DATA TRANSFER LTD. </w:t>
      </w:r>
      <w:bookmarkStart w:id="7" w:name="notes_to_combined_and_consolidated_finan"/>
      <w:bookmarkEnd w:id="7"/>
      <w:r>
        <w:rPr>
          <w:rFonts w:ascii="sans-serif" w:hAnsi="sans-serif"/>
          <w:b/>
          <w:color w:val="000000"/>
          <w:sz w:val="23"/>
        </w:rPr>
        <w:t>NOTES TO COMBINED AND CONSOLIDATED FINANCIAL STATEMENTS</w:t>
      </w:r>
    </w:p>
    <w:p>
      <w:pPr>
        <w:pStyle w:val="TextBody"/>
        <w:bidi w:val="0"/>
        <w:jc w:val="left"/>
        <w:rPr>
          <w:rFonts w:ascii="sans-serif" w:hAnsi="sans-serif"/>
          <w:b/>
          <w:color w:val="000000"/>
          <w:sz w:val="23"/>
        </w:rPr>
      </w:pPr>
      <w:r>
        <w:rPr>
          <w:rFonts w:ascii="sans-serif" w:hAnsi="sans-serif"/>
          <w:b/>
          <w:color w:val="000000"/>
          <w:sz w:val="23"/>
        </w:rPr>
        <w:t>AS OF AND FOR THE YEARS ENDED DECEMBER 31, 2025 AND 2024</w:t>
      </w:r>
    </w:p>
    <w:p>
      <w:pPr>
        <w:pStyle w:val="TextBody"/>
        <w:bidi w:val="0"/>
        <w:spacing w:before="271" w:after="283"/>
        <w:jc w:val="left"/>
        <w:rPr>
          <w:rFonts w:ascii="sans-serif" w:hAnsi="sans-serif"/>
          <w:b/>
          <w:color w:val="000000"/>
          <w:sz w:val="20"/>
        </w:rPr>
      </w:pPr>
      <w:r>
        <w:rPr>
          <w:rFonts w:ascii="sans-serif" w:hAnsi="sans-serif"/>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71" w:after="283"/>
        <w:jc w:val="left"/>
        <w:rPr>
          <w:rFonts w:ascii="sans-serif" w:hAnsi="sans-serif"/>
          <w:b/>
          <w:color w:val="000000"/>
          <w:sz w:val="20"/>
        </w:rPr>
      </w:pPr>
      <w:r>
        <w:rPr>
          <w:rFonts w:ascii="sans-serif" w:hAnsi="sans-serif"/>
          <w:b/>
          <w:color w:val="000000"/>
          <w:sz w:val="20"/>
        </w:rPr>
        <w:t>DESCRIPTION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8" w:after="283"/>
        <w:jc w:val="both"/>
        <w:rPr>
          <w:rFonts w:ascii="sans-serif" w:hAnsi="sans-serif"/>
          <w:color w:val="000000"/>
          <w:sz w:val="20"/>
        </w:rPr>
      </w:pPr>
      <w:r>
        <w:rPr>
          <w:rFonts w:ascii="sans-serif" w:hAnsi="sans-serif"/>
          <w:color w:val="000000"/>
          <w:sz w:val="20"/>
        </w:rPr>
        <w:t>KUBRA Data Transfer Ltd. (the "King Canada") is a Canadian company incorporated under the laws of Ontario in 1992. KUBRA Holdings, Inc. and subsidiaries, a Delaware corporation (“King US”, and together with King Canada, the “Company”). The Company is an industry-leading provider of customer experience management solutions to some of the largest utility, government, and insurance entities in North America. The Company’s platform offering includes billing and payments, alerts and preference management, artificial intelligence solutions, mobile apps, and utility mapping solutions.</w:t>
      </w:r>
    </w:p>
    <w:p>
      <w:pPr>
        <w:pStyle w:val="TextBody"/>
        <w:bidi w:val="0"/>
        <w:spacing w:before="122" w:after="283"/>
        <w:jc w:val="both"/>
        <w:rPr>
          <w:rFonts w:ascii="sans-serif" w:hAnsi="sans-serif"/>
          <w:color w:val="000000"/>
          <w:sz w:val="20"/>
        </w:rPr>
      </w:pPr>
      <w:r>
        <w:rPr>
          <w:rFonts w:ascii="sans-serif" w:hAnsi="sans-serif"/>
          <w:color w:val="000000"/>
          <w:sz w:val="20"/>
        </w:rPr>
        <w:t>The Company is located and headquartered in Mississauga, Ontario. Other offices operated by the Company are in Piscataway, New Jersey, Coppell, Texas, Gardena, California and Tempe, Arizona. All subsidiaries are wholly owned by the Company. The Company’s revenues are derived primarily from operations in the United States and Canada.</w:t>
      </w:r>
    </w:p>
    <w:p>
      <w:pPr>
        <w:pStyle w:val="TextBody"/>
        <w:bidi w:val="0"/>
        <w:spacing w:before="120" w:after="283"/>
        <w:jc w:val="both"/>
        <w:rPr>
          <w:rFonts w:ascii="Times New Roman" w:hAnsi="Times New Roman"/>
          <w:sz w:val="20"/>
        </w:rPr>
      </w:pPr>
      <w:r>
        <w:rPr>
          <w:rFonts w:ascii="sans-serif" w:hAnsi="sans-serif"/>
          <w:b/>
          <w:color w:val="000000"/>
          <w:sz w:val="20"/>
        </w:rPr>
        <w:t>Risks and Uncertainties</w:t>
      </w:r>
      <w:r>
        <w:rPr>
          <w:rFonts w:ascii="sans-serif" w:hAnsi="sans-serif"/>
          <w:color w:val="000000"/>
          <w:sz w:val="20"/>
        </w:rPr>
        <w:t>:</w:t>
      </w:r>
    </w:p>
    <w:p>
      <w:pPr>
        <w:pStyle w:val="TextBody"/>
        <w:bidi w:val="0"/>
        <w:spacing w:before="120" w:after="283"/>
        <w:jc w:val="both"/>
        <w:rPr>
          <w:rFonts w:ascii="sans-serif" w:hAnsi="sans-serif"/>
          <w:color w:val="000000"/>
          <w:sz w:val="20"/>
        </w:rPr>
      </w:pPr>
      <w:bookmarkStart w:id="8" w:name="x__summary_of_significant_accounting_pol"/>
      <w:bookmarkEnd w:id="8"/>
      <w:r>
        <w:rPr>
          <w:rFonts w:ascii="sans-serif" w:hAnsi="sans-serif"/>
          <w:color w:val="000000"/>
          <w:sz w:val="20"/>
        </w:rPr>
        <w:t>The Company is subject to a number of risks similar to those of other companies of similar size in its industry, including, but not limited to, the need for successful development of products, the need for additional capital to fund operations, competition from substitute products and services from larger companies, protection of proprietary technology, dependence on key individuals, and risks associated with changes in information technology.</w:t>
      </w:r>
    </w:p>
    <w:p>
      <w:pPr>
        <w:pStyle w:val="TextBody"/>
        <w:bidi w:val="0"/>
        <w:spacing w:before="118" w:after="283"/>
        <w:jc w:val="left"/>
        <w:rPr>
          <w:rFonts w:ascii="sans-serif" w:hAnsi="sans-serif"/>
          <w:b/>
          <w:color w:val="000000"/>
          <w:sz w:val="20"/>
        </w:rPr>
      </w:pPr>
      <w:r>
        <w:rPr>
          <w:rFonts w:ascii="sans-serif" w:hAnsi="sans-serif"/>
          <w:b/>
          <w:color w:val="000000"/>
          <w:sz w:val="20"/>
        </w:rPr>
        <w:t>2.</w:t>
      </w:r>
    </w:p>
    <w:p>
      <w:pPr>
        <w:pStyle w:val="TextBody"/>
        <w:bidi w:val="0"/>
        <w:spacing w:before="118" w:after="283"/>
        <w:jc w:val="left"/>
        <w:rPr>
          <w:rFonts w:ascii="sans-serif" w:hAnsi="sans-serif"/>
          <w:b/>
          <w:color w:val="000000"/>
          <w:sz w:val="20"/>
        </w:rPr>
      </w:pPr>
      <w:r>
        <w:rPr>
          <w:rFonts w:ascii="sans-serif" w:hAnsi="sans-serif"/>
          <w:b/>
          <w:color w:val="000000"/>
          <w:sz w:val="20"/>
        </w:rPr>
        <w:t>SUMMARY OF SIGNIFICANT ACCOUNTING POLICIES</w:t>
      </w:r>
    </w:p>
    <w:p>
      <w:pPr>
        <w:pStyle w:val="TextBody"/>
        <w:bidi w:val="0"/>
        <w:spacing w:before="121" w:after="283"/>
        <w:jc w:val="both"/>
        <w:rPr>
          <w:rFonts w:ascii="sans-serif" w:hAnsi="sans-serif"/>
          <w:b/>
          <w:color w:val="000000"/>
          <w:sz w:val="20"/>
        </w:rPr>
      </w:pPr>
      <w:r>
        <w:rPr>
          <w:rFonts w:ascii="sans-serif" w:hAnsi="sans-serif"/>
          <w:b/>
          <w:color w:val="000000"/>
          <w:sz w:val="20"/>
        </w:rPr>
        <w:t>Basis of Presentation:</w:t>
      </w:r>
    </w:p>
    <w:p>
      <w:pPr>
        <w:pStyle w:val="TextBody"/>
        <w:bidi w:val="0"/>
        <w:spacing w:before="120" w:after="283"/>
        <w:jc w:val="both"/>
        <w:rPr>
          <w:rFonts w:ascii="sans-serif" w:hAnsi="sans-serif"/>
          <w:color w:val="000000"/>
          <w:sz w:val="20"/>
        </w:rPr>
      </w:pPr>
      <w:r>
        <w:rPr>
          <w:rFonts w:ascii="sans-serif" w:hAnsi="sans-serif"/>
          <w:color w:val="000000"/>
          <w:sz w:val="20"/>
        </w:rPr>
        <w:t>The combined and consolidated financial statements have been prepared in accordance with accounting principles generally accepted in the United States of America (U.S. GAAP).</w:t>
      </w:r>
    </w:p>
    <w:p>
      <w:pPr>
        <w:pStyle w:val="TextBody"/>
        <w:bidi w:val="0"/>
        <w:spacing w:before="119" w:after="283"/>
        <w:jc w:val="both"/>
        <w:rPr>
          <w:rFonts w:ascii="sans-serif" w:hAnsi="sans-serif"/>
          <w:b/>
          <w:color w:val="000000"/>
          <w:sz w:val="20"/>
        </w:rPr>
      </w:pPr>
      <w:r>
        <w:rPr>
          <w:rFonts w:ascii="sans-serif" w:hAnsi="sans-serif"/>
          <w:b/>
          <w:color w:val="000000"/>
          <w:sz w:val="20"/>
        </w:rPr>
        <w:t>Basis of Consolidation:</w:t>
      </w:r>
    </w:p>
    <w:p>
      <w:pPr>
        <w:pStyle w:val="TextBody"/>
        <w:bidi w:val="0"/>
        <w:spacing w:before="121" w:after="283"/>
        <w:jc w:val="both"/>
        <w:rPr>
          <w:rFonts w:ascii="sans-serif" w:hAnsi="sans-serif"/>
          <w:color w:val="000000"/>
          <w:sz w:val="20"/>
        </w:rPr>
      </w:pPr>
      <w:r>
        <w:rPr>
          <w:rFonts w:ascii="sans-serif" w:hAnsi="sans-serif"/>
          <w:color w:val="000000"/>
          <w:sz w:val="20"/>
        </w:rPr>
        <w:t>The combined and consolidated financial statements include the accounts of the Company and its wholly owned subsidiaries, KUBRA Management Inc., KUBRA Holdings Inc., KUBRA Investment Corp., KUBRA Acquisition Corp., KUBRA Data Transfer Ltd. (U.S.), KUBRA America West Inc., KUBRA America South East Inc., KUBRA Tennessee LLC, FormMaker Software Inc., KUBRA Arizona Inc., Matrix Digital Technologies Inc., Newbridge Information Services, Inc and DropCountr Inc. All intercompany balances and transactions have been eliminated in consolidation.</w:t>
      </w:r>
    </w:p>
    <w:p>
      <w:pPr>
        <w:pStyle w:val="TextBody"/>
        <w:bidi w:val="0"/>
        <w:spacing w:before="121" w:after="283"/>
        <w:jc w:val="both"/>
        <w:rPr>
          <w:rFonts w:ascii="sans-serif" w:hAnsi="sans-serif"/>
          <w:b/>
          <w:color w:val="000000"/>
          <w:sz w:val="20"/>
        </w:rPr>
      </w:pPr>
      <w:r>
        <w:rPr>
          <w:rFonts w:ascii="sans-serif" w:hAnsi="sans-serif"/>
          <w:b/>
          <w:color w:val="000000"/>
          <w:sz w:val="20"/>
        </w:rPr>
        <w:t>Use of Estimates:</w:t>
      </w:r>
    </w:p>
    <w:p>
      <w:pPr>
        <w:pStyle w:val="TextBody"/>
        <w:bidi w:val="0"/>
        <w:spacing w:before="118" w:after="283"/>
        <w:jc w:val="both"/>
        <w:rPr>
          <w:rFonts w:ascii="sans-serif" w:hAnsi="sans-serif"/>
          <w:color w:val="000000"/>
          <w:sz w:val="20"/>
        </w:rPr>
      </w:pPr>
      <w:r>
        <w:rPr>
          <w:rFonts w:ascii="sans-serif" w:hAnsi="sans-serif"/>
          <w:color w:val="000000"/>
          <w:sz w:val="20"/>
        </w:rPr>
        <w:t>The preparation of financial statements in accordance with US GAAP requires management to make estimates and assumptions that affect the reported amounts of assets and liabilities and disclosure of contingent assets and liabilities at the date of the combined and consolidated financial statements, and the reported amounts of income and expense during the reporting period. The most significant estimates relate to the selection of useful lives of property and equipment, capitalization of internally developed software and associated useful lives, acquired intangible assets, allowance for credit losses.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combined and consolidated financial statements; therefore, actual results could differ from those estimates.</w:t>
      </w:r>
    </w:p>
    <w:p>
      <w:pPr>
        <w:pStyle w:val="TextBody"/>
        <w:bidi w:val="0"/>
        <w:spacing w:before="121" w:after="283"/>
        <w:jc w:val="both"/>
        <w:rPr>
          <w:rFonts w:ascii="Times New Roman" w:hAnsi="Times New Roman"/>
          <w:sz w:val="20"/>
        </w:rPr>
      </w:pPr>
      <w:r>
        <w:rPr>
          <w:rFonts w:ascii="sans-serif" w:hAnsi="sans-serif"/>
          <w:b/>
          <w:color w:val="000000"/>
          <w:sz w:val="20"/>
        </w:rPr>
        <w:t>Foreign Currency</w:t>
      </w:r>
      <w:r>
        <w:rPr>
          <w:rFonts w:ascii="sans-serif" w:hAnsi="sans-serif"/>
          <w:color w:val="000000"/>
          <w:sz w:val="20"/>
        </w:rPr>
        <w:t>:</w:t>
      </w:r>
    </w:p>
    <w:p>
      <w:pPr>
        <w:pStyle w:val="TextBody"/>
        <w:bidi w:val="0"/>
        <w:spacing w:before="121" w:after="283"/>
        <w:jc w:val="both"/>
        <w:rPr>
          <w:rFonts w:ascii="sans-serif" w:hAnsi="sans-serif"/>
          <w:color w:val="000000"/>
          <w:sz w:val="20"/>
        </w:rPr>
      </w:pPr>
      <w:r>
        <w:rPr>
          <w:rFonts w:ascii="sans-serif" w:hAnsi="sans-serif"/>
          <w:color w:val="000000"/>
          <w:sz w:val="20"/>
        </w:rPr>
        <w:t>The Company’s reporting currency is US dollars. The functional currency of King Canada is the local currency (CAD Canadian Dollars), as it is the monetary unit of account of the principal economic environment in which King Canada operates.</w:t>
      </w:r>
    </w:p>
    <w:p>
      <w:pPr>
        <w:pStyle w:val="TextBody"/>
        <w:bidi w:val="0"/>
        <w:jc w:val="both"/>
        <w:rPr>
          <w:rFonts w:ascii="Times New Roman" w:hAnsi="Times New Roman"/>
          <w:sz w:val="20"/>
        </w:rPr>
      </w:pPr>
      <w:r>
        <w:rPr>
          <w:rFonts w:ascii="sans-serif" w:hAnsi="sans-serif"/>
          <w:color w:val="000000"/>
          <w:sz w:val="20"/>
        </w:rPr>
        <w:t>Monetary assets and liabilities denominated in foreign currencies are translated into U.S. dollars at the rate of exchange in effect at the combined and consolidated balance sheet date. Non-monetary assets and liabilities are translated at the prevailing historical exchange rate at the time of the transaction. Sales and expenses arising from foreign currency transactions are translated into U.S. dollars at the exchange rate in effect at the transaction date. The gain or loss resulting from the process of translating foreign currency financial statements into US dollars is reflected as a foreign currency cumulative translation adjustment and reported as a component of accumulated other comprehensive income (loss). Foreign currency transaction gains and losses resulting from or expected to result from transactions denominated</w:t>
      </w:r>
      <w:r>
        <w:rPr>
          <w:rFonts w:ascii="Times New Roman" w:hAnsi="Times New Roman"/>
          <w:color w:val="000000"/>
          <w:sz w:val="20"/>
        </w:rPr>
        <w:t xml:space="preserve">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0"/>
        </w:rPr>
      </w:pPr>
      <w:r>
        <w:rPr>
          <w:rFonts w:ascii="sans-serif" w:hAnsi="sans-serif"/>
          <w:color w:val="000000"/>
          <w:sz w:val="20"/>
        </w:rPr>
        <w:t>in a currency other than the functional currency are recognized in other income (expense), net in the combined and consolidated income statements of operations.</w:t>
      </w:r>
    </w:p>
    <w:p>
      <w:pPr>
        <w:pStyle w:val="TextBody"/>
        <w:bidi w:val="0"/>
        <w:spacing w:before="119" w:after="283"/>
        <w:jc w:val="both"/>
        <w:rPr>
          <w:rFonts w:ascii="Times New Roman" w:hAnsi="Times New Roman"/>
          <w:sz w:val="20"/>
        </w:rPr>
      </w:pPr>
      <w:r>
        <w:rPr>
          <w:rFonts w:ascii="sans-serif" w:hAnsi="sans-serif"/>
          <w:b/>
          <w:color w:val="000000"/>
          <w:sz w:val="20"/>
        </w:rPr>
        <w:t>Comprehensive Income (Loss)</w:t>
      </w:r>
      <w:r>
        <w:rPr>
          <w:rFonts w:ascii="sans-serif" w:hAnsi="sans-serif"/>
          <w:color w:val="000000"/>
          <w:sz w:val="20"/>
        </w:rPr>
        <w:t>:</w:t>
      </w:r>
    </w:p>
    <w:p>
      <w:pPr>
        <w:pStyle w:val="TextBody"/>
        <w:bidi w:val="0"/>
        <w:spacing w:before="121" w:after="283"/>
        <w:jc w:val="both"/>
        <w:rPr>
          <w:rFonts w:ascii="sans-serif" w:hAnsi="sans-serif"/>
          <w:color w:val="000000"/>
          <w:sz w:val="20"/>
        </w:rPr>
      </w:pPr>
      <w:r>
        <w:rPr>
          <w:rFonts w:ascii="sans-serif" w:hAnsi="sans-serif"/>
          <w:color w:val="000000"/>
          <w:sz w:val="20"/>
        </w:rPr>
        <w:t>Comprehensive income (loss) consists of two components, net income (loss) and other comprehensive income (loss), net of tax. The Company’s other comprehensive income (loss), net of tax, consists of foreign currency translation adjustments that result from consolidation of its foreign entity/entities.</w:t>
      </w:r>
    </w:p>
    <w:p>
      <w:pPr>
        <w:pStyle w:val="TextBody"/>
        <w:bidi w:val="0"/>
        <w:spacing w:before="119" w:after="283"/>
        <w:jc w:val="both"/>
        <w:rPr>
          <w:rFonts w:ascii="sans-serif" w:hAnsi="sans-serif"/>
          <w:b/>
          <w:color w:val="000000"/>
          <w:sz w:val="20"/>
        </w:rPr>
      </w:pPr>
      <w:r>
        <w:rPr>
          <w:rFonts w:ascii="sans-serif" w:hAnsi="sans-serif"/>
          <w:b/>
          <w:color w:val="000000"/>
          <w:sz w:val="20"/>
        </w:rPr>
        <w:t>Cash and Cash Equivalents:</w:t>
      </w:r>
    </w:p>
    <w:p>
      <w:pPr>
        <w:pStyle w:val="TextBody"/>
        <w:bidi w:val="0"/>
        <w:spacing w:before="121" w:after="283"/>
        <w:jc w:val="both"/>
        <w:rPr>
          <w:rFonts w:ascii="sans-serif" w:hAnsi="sans-serif"/>
          <w:color w:val="000000"/>
          <w:sz w:val="20"/>
        </w:rPr>
      </w:pPr>
      <w:r>
        <w:rPr>
          <w:rFonts w:ascii="sans-serif" w:hAnsi="sans-serif"/>
          <w:color w:val="000000"/>
          <w:sz w:val="20"/>
        </w:rPr>
        <w:t>The Company considers all highly liquid investments with an original maturity of three months or less when purchased to be cash and cash equivalents. Cash and cash equivalents are recorded at cost, which approximates fair value. As of December 31, 2025 and 2024, cash consists primarily of checking deposits. To date, the Company has not recognized any losses caused by uninsured balances.</w:t>
      </w:r>
    </w:p>
    <w:p>
      <w:pPr>
        <w:pStyle w:val="TextBody"/>
        <w:bidi w:val="0"/>
        <w:spacing w:before="120" w:after="283"/>
        <w:jc w:val="left"/>
        <w:rPr>
          <w:rFonts w:ascii="sans-serif" w:hAnsi="sans-serif"/>
          <w:b/>
          <w:color w:val="000000"/>
          <w:sz w:val="20"/>
        </w:rPr>
      </w:pPr>
      <w:r>
        <w:rPr>
          <w:rFonts w:ascii="sans-serif" w:hAnsi="sans-serif"/>
          <w:b/>
          <w:color w:val="000000"/>
          <w:sz w:val="20"/>
        </w:rPr>
        <w:t>Inventories:</w:t>
      </w:r>
    </w:p>
    <w:p>
      <w:pPr>
        <w:pStyle w:val="TextBody"/>
        <w:bidi w:val="0"/>
        <w:spacing w:before="118" w:after="283"/>
        <w:jc w:val="left"/>
        <w:rPr>
          <w:rFonts w:ascii="sans-serif" w:hAnsi="sans-serif"/>
          <w:color w:val="000000"/>
          <w:sz w:val="20"/>
        </w:rPr>
      </w:pPr>
      <w:r>
        <w:rPr>
          <w:rFonts w:ascii="sans-serif" w:hAnsi="sans-serif"/>
          <w:color w:val="000000"/>
          <w:sz w:val="20"/>
        </w:rPr>
        <w:t>Inventories consist principally of paper, envelopes, ink and toner, and represent products available for sale and are accounted for using the first-in, first-out (“FIFO”) method and valued at the lower of cost or net realizable value.</w:t>
      </w:r>
    </w:p>
    <w:p>
      <w:pPr>
        <w:pStyle w:val="TextBody"/>
        <w:bidi w:val="0"/>
        <w:spacing w:before="122" w:after="283"/>
        <w:jc w:val="both"/>
        <w:rPr>
          <w:rFonts w:ascii="sans-serif" w:hAnsi="sans-serif"/>
          <w:color w:val="000000"/>
          <w:sz w:val="20"/>
        </w:rPr>
      </w:pPr>
      <w:r>
        <w:rPr>
          <w:rFonts w:ascii="sans-serif" w:hAnsi="sans-serif"/>
          <w:color w:val="000000"/>
          <w:sz w:val="20"/>
        </w:rPr>
        <w:t>The Company assesses the valuation of inventory and periodically writes down the value for estimated excess and obsolete inventory based upon estimates of future demand and market conditions. Inventory valuation requires the Company to make judgments, based on information available at each reporting period. Inventory valuation losses are recorded as cost of revenues. As of December 31, 2025 and 2024, the Company deemed no reserves were necessary to reflect inventories at their estimated net realizable value.</w:t>
      </w:r>
    </w:p>
    <w:p>
      <w:pPr>
        <w:pStyle w:val="TextBody"/>
        <w:bidi w:val="0"/>
        <w:spacing w:before="121" w:after="283"/>
        <w:jc w:val="both"/>
        <w:rPr>
          <w:rFonts w:ascii="sans-serif" w:hAnsi="sans-serif"/>
          <w:b/>
          <w:color w:val="000000"/>
          <w:sz w:val="20"/>
        </w:rPr>
      </w:pPr>
      <w:r>
        <w:rPr>
          <w:rFonts w:ascii="sans-serif" w:hAnsi="sans-serif"/>
          <w:b/>
          <w:color w:val="000000"/>
          <w:sz w:val="20"/>
        </w:rPr>
        <w:t>Accounts Receivable and Allowance for Credit Losses:</w:t>
      </w:r>
    </w:p>
    <w:p>
      <w:pPr>
        <w:pStyle w:val="TextBody"/>
        <w:bidi w:val="0"/>
        <w:spacing w:before="118" w:after="283"/>
        <w:jc w:val="both"/>
        <w:rPr>
          <w:rFonts w:ascii="sans-serif" w:hAnsi="sans-serif"/>
          <w:color w:val="000000"/>
          <w:sz w:val="20"/>
        </w:rPr>
      </w:pPr>
      <w:r>
        <w:rPr>
          <w:rFonts w:ascii="sans-serif" w:hAnsi="sans-serif"/>
          <w:color w:val="000000"/>
          <w:sz w:val="20"/>
        </w:rPr>
        <w:t>Accounts receivables are stated at net realizable value. The majority of customers are not extended credit and therefore time to maturity for receivables is short. On a periodic basis, management evaluates its accounts receivable and determines whether to provide an allowance or if any accounts should be written off based on past history of write-offs, collections, and current credit conditions. A receivable is considered past due if the Company has not received payments based on agreed-upon terms. The allowance for credit losses was $28,448, $25,673, and $-0- as of January 1, 2024, December 31, 2024, and December 31, 2025, respectively.</w:t>
      </w:r>
    </w:p>
    <w:p>
      <w:pPr>
        <w:pStyle w:val="TextBody"/>
        <w:bidi w:val="0"/>
        <w:spacing w:before="121" w:after="283"/>
        <w:jc w:val="both"/>
        <w:rPr>
          <w:rFonts w:ascii="Times New Roman" w:hAnsi="Times New Roman"/>
          <w:sz w:val="20"/>
        </w:rPr>
      </w:pPr>
      <w:r>
        <w:rPr>
          <w:rFonts w:ascii="sans-serif" w:hAnsi="sans-serif"/>
          <w:b/>
          <w:color w:val="000000"/>
          <w:sz w:val="20"/>
        </w:rPr>
        <w:t>Property and Equipment</w:t>
      </w:r>
      <w:r>
        <w:rPr>
          <w:rFonts w:ascii="sans-serif" w:hAnsi="sans-serif"/>
          <w:color w:val="000000"/>
          <w:sz w:val="20"/>
        </w:rPr>
        <w:t>:</w:t>
      </w:r>
    </w:p>
    <w:p>
      <w:pPr>
        <w:pStyle w:val="TextBody"/>
        <w:bidi w:val="0"/>
        <w:spacing w:before="119" w:after="283"/>
        <w:jc w:val="both"/>
        <w:rPr>
          <w:rFonts w:ascii="sans-serif" w:hAnsi="sans-serif"/>
          <w:color w:val="000000"/>
          <w:sz w:val="20"/>
        </w:rPr>
      </w:pPr>
      <w:r>
        <w:rPr>
          <w:rFonts w:ascii="sans-serif" w:hAnsi="sans-serif"/>
          <w:color w:val="000000"/>
          <w:sz w:val="20"/>
        </w:rPr>
        <w:t>Property, plant and equipment are recorded at cost, less accumulated depreciation. Assets under capital leases are accounted for at cost, which corresponds to the present value of the minimum lease payments. Depreciation of property, plant and equipment and assets under capital leases is based on the estimated useful life of the asset ranging from 3-8 years on a straight-line basis.</w:t>
      </w:r>
    </w:p>
    <w:p>
      <w:pPr>
        <w:pStyle w:val="TextBody"/>
        <w:bidi w:val="0"/>
        <w:spacing w:before="120" w:after="283"/>
        <w:jc w:val="both"/>
        <w:rPr>
          <w:rFonts w:ascii="sans-serif" w:hAnsi="sans-serif"/>
          <w:b/>
          <w:color w:val="000000"/>
          <w:sz w:val="20"/>
        </w:rPr>
      </w:pPr>
      <w:r>
        <w:rPr>
          <w:rFonts w:ascii="sans-serif" w:hAnsi="sans-serif"/>
          <w:b/>
          <w:color w:val="000000"/>
          <w:sz w:val="20"/>
        </w:rPr>
        <w:t>Intangible Assets:</w:t>
      </w:r>
    </w:p>
    <w:p>
      <w:pPr>
        <w:pStyle w:val="TextBody"/>
        <w:bidi w:val="0"/>
        <w:spacing w:before="178" w:after="42"/>
        <w:jc w:val="both"/>
        <w:rPr>
          <w:rFonts w:ascii="sans-serif" w:hAnsi="sans-serif"/>
          <w:color w:val="000000"/>
          <w:sz w:val="20"/>
        </w:rPr>
      </w:pPr>
      <w:r>
        <w:rPr>
          <w:rFonts w:ascii="sans-serif" w:hAnsi="sans-serif"/>
          <w:color w:val="000000"/>
          <w:sz w:val="20"/>
        </w:rPr>
        <w:t>Intangible assets with finite lives acquired through acquisitions are initially recognized at fair value based on an allocation of purchase price. Intangible assets with finite lives are amortized over their estimated useful lives. The Company has no intangible assets with indefinite lives. Amortization is calculated on a straight-line basis over the following estimated useful lives:</w:t>
      </w:r>
    </w:p>
    <w:tbl>
      <w:tblPr>
        <w:tblW w:w="8503" w:type="dxa"/>
        <w:jc w:val="left"/>
        <w:tblInd w:w="0" w:type="dxa"/>
        <w:tblLayout w:type="fixed"/>
        <w:tblCellMar>
          <w:top w:w="28" w:type="dxa"/>
          <w:left w:w="28" w:type="dxa"/>
          <w:bottom w:w="28" w:type="dxa"/>
          <w:right w:w="28" w:type="dxa"/>
        </w:tblCellMar>
      </w:tblPr>
      <w:tblGrid>
        <w:gridCol w:w="5144"/>
        <w:gridCol w:w="3359"/>
      </w:tblGrid>
      <w:tr>
        <w:trPr/>
        <w:tc>
          <w:tcPr>
            <w:tcW w:w="5144"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144" w:type="dxa"/>
            <w:tcBorders/>
            <w:tcMar>
              <w:top w:w="0" w:type="dxa"/>
              <w:left w:w="0" w:type="dxa"/>
              <w:bottom w:w="0" w:type="dxa"/>
              <w:right w:w="0" w:type="dxa"/>
            </w:tcMar>
            <w:vAlign w:val="center"/>
          </w:tcPr>
          <w:p>
            <w:pPr>
              <w:pStyle w:val="TableContents"/>
              <w:bidi w:val="0"/>
              <w:spacing w:before="0" w:after="283"/>
              <w:ind w:left="0" w:right="0" w:firstLine="1123"/>
              <w:jc w:val="left"/>
              <w:rPr>
                <w:rFonts w:ascii="sans-serif" w:hAnsi="sans-serif"/>
                <w:color w:val="000000"/>
                <w:sz w:val="20"/>
              </w:rPr>
            </w:pPr>
            <w:r>
              <w:rPr>
                <w:rFonts w:ascii="sans-serif" w:hAnsi="sans-serif"/>
                <w:color w:val="000000"/>
                <w:sz w:val="20"/>
              </w:rPr>
              <w:t>Capitalized Software</w:t>
            </w:r>
          </w:p>
        </w:tc>
        <w:tc>
          <w:tcPr>
            <w:tcW w:w="3359"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color w:val="000000"/>
                <w:sz w:val="20"/>
              </w:rPr>
            </w:pPr>
            <w:r>
              <w:rPr>
                <w:rFonts w:ascii="sans-serif" w:hAnsi="sans-serif"/>
                <w:color w:val="000000"/>
                <w:sz w:val="20"/>
              </w:rPr>
              <w:t>5 years straight-line</w:t>
            </w:r>
          </w:p>
        </w:tc>
      </w:tr>
      <w:tr>
        <w:trPr/>
        <w:tc>
          <w:tcPr>
            <w:tcW w:w="5144" w:type="dxa"/>
            <w:tcBorders/>
            <w:tcMar>
              <w:top w:w="0" w:type="dxa"/>
              <w:left w:w="0" w:type="dxa"/>
              <w:bottom w:w="0" w:type="dxa"/>
              <w:right w:w="0" w:type="dxa"/>
            </w:tcMar>
            <w:vAlign w:val="center"/>
          </w:tcPr>
          <w:p>
            <w:pPr>
              <w:pStyle w:val="TableContents"/>
              <w:bidi w:val="0"/>
              <w:spacing w:before="4" w:after="283"/>
              <w:ind w:left="0" w:right="0" w:firstLine="1123"/>
              <w:jc w:val="left"/>
              <w:rPr>
                <w:rFonts w:ascii="sans-serif" w:hAnsi="sans-serif"/>
                <w:color w:val="000000"/>
                <w:sz w:val="20"/>
              </w:rPr>
            </w:pPr>
            <w:r>
              <w:rPr>
                <w:rFonts w:ascii="sans-serif" w:hAnsi="sans-serif"/>
                <w:color w:val="000000"/>
                <w:sz w:val="20"/>
              </w:rPr>
              <w:t>Customer Lists and Trademark Licenses</w:t>
            </w:r>
          </w:p>
        </w:tc>
        <w:tc>
          <w:tcPr>
            <w:tcW w:w="3359" w:type="dxa"/>
            <w:tcBorders/>
            <w:tcMar>
              <w:top w:w="0" w:type="dxa"/>
              <w:left w:w="0" w:type="dxa"/>
              <w:bottom w:w="0" w:type="dxa"/>
              <w:right w:w="0" w:type="dxa"/>
            </w:tcMar>
            <w:vAlign w:val="center"/>
          </w:tcPr>
          <w:p>
            <w:pPr>
              <w:pStyle w:val="TableContents"/>
              <w:bidi w:val="0"/>
              <w:spacing w:before="4" w:after="283"/>
              <w:ind w:left="0" w:right="0" w:firstLine="1123"/>
              <w:jc w:val="left"/>
              <w:rPr>
                <w:rFonts w:ascii="sans-serif" w:hAnsi="sans-serif"/>
                <w:color w:val="000000"/>
                <w:sz w:val="20"/>
              </w:rPr>
            </w:pPr>
            <w:r>
              <w:rPr>
                <w:rFonts w:ascii="sans-serif" w:hAnsi="sans-serif"/>
                <w:color w:val="000000"/>
                <w:sz w:val="20"/>
              </w:rPr>
              <w:t>20 years straight-line</w:t>
            </w:r>
          </w:p>
        </w:tc>
      </w:tr>
    </w:tbl>
    <w:p>
      <w:pPr>
        <w:pStyle w:val="TextBody"/>
        <w:bidi w:val="0"/>
        <w:spacing w:before="126" w:after="283"/>
        <w:jc w:val="left"/>
        <w:rPr>
          <w:rFonts w:ascii="sans-serif" w:hAnsi="sans-serif"/>
          <w:b/>
          <w:color w:val="000000"/>
          <w:sz w:val="20"/>
        </w:rPr>
      </w:pPr>
      <w:r>
        <w:rPr>
          <w:rFonts w:ascii="sans-serif" w:hAnsi="sans-serif"/>
          <w:b/>
          <w:color w:val="000000"/>
          <w:sz w:val="20"/>
        </w:rPr>
        <w:t>Goodwill:</w:t>
      </w:r>
    </w:p>
    <w:p>
      <w:pPr>
        <w:pStyle w:val="TextBody"/>
        <w:bidi w:val="0"/>
        <w:spacing w:before="118" w:after="283"/>
        <w:jc w:val="both"/>
        <w:rPr>
          <w:rFonts w:ascii="sans-serif" w:hAnsi="sans-serif"/>
          <w:color w:val="000000"/>
          <w:sz w:val="20"/>
        </w:rPr>
      </w:pPr>
      <w:r>
        <w:rPr>
          <w:rFonts w:ascii="sans-serif" w:hAnsi="sans-serif"/>
          <w:color w:val="000000"/>
          <w:sz w:val="20"/>
        </w:rPr>
        <w:t>Goodwill represents the excess of the purchase consideration over the fair value attributed to tangible and intangible assets acquired at the date of acquisition. Goodwill is not amortized but is instead tested for impairment if events or changes in circumstances indicate that an impairment loss may have occurred. In the impairment test, the carrying amount of the reporting unit, including goodwill, is compared with its fair value. When the carrying amount of the reporting unit exceeds its fair value, a goodwill impairment loss is recognized, up to a maximum amount of the recorded goodwill related to the reporting unit. Goodwill impairment losses are not reversed. There were no significant indicators of impairment of the carrying values of the Company's goodwill for the years ended December 31, 2025 and 2024.</w:t>
      </w:r>
    </w:p>
    <w:p>
      <w:pPr>
        <w:pStyle w:val="TextBody"/>
        <w:bidi w:val="0"/>
        <w:spacing w:before="41" w:after="283"/>
        <w:jc w:val="left"/>
        <w:rPr>
          <w:rFonts w:ascii="sans-serif" w:hAnsi="sans-serif"/>
          <w:b/>
          <w:color w:val="000000"/>
          <w:sz w:val="20"/>
        </w:rPr>
      </w:pPr>
      <w:r>
        <w:rPr>
          <w:rFonts w:ascii="sans-serif" w:hAnsi="sans-serif"/>
          <w:b/>
          <w:color w:val="000000"/>
          <w:sz w:val="20"/>
        </w:rPr>
        <w:t>Revenue:</w:t>
      </w:r>
    </w:p>
    <w:p>
      <w:pPr>
        <w:pStyle w:val="TextBody"/>
        <w:bidi w:val="0"/>
        <w:spacing w:before="119" w:after="283"/>
        <w:jc w:val="both"/>
        <w:rPr>
          <w:rFonts w:ascii="Times New Roman" w:hAnsi="Times New Roman"/>
          <w:sz w:val="20"/>
        </w:rPr>
      </w:pPr>
      <w:r>
        <w:rPr>
          <w:rFonts w:ascii="sans-serif" w:hAnsi="sans-serif"/>
          <w:color w:val="000000"/>
          <w:sz w:val="20"/>
        </w:rPr>
        <w:t>The Company recognizes revenue in accordance with Accounting Standards Codification ("ASC") Topic 606, Revenue from Contracts with Customers. Revenue is recognized when control of promised goods or services is transferred to customers in an amount that reflects the consideration the Company expects to receive in exchange for those goods or</w:t>
      </w:r>
      <w:r>
        <w:rPr>
          <w:rFonts w:ascii="Times New Roman" w:hAnsi="Times New Roman"/>
          <w:color w:val="000000"/>
          <w:sz w:val="20"/>
        </w:rPr>
        <w:t xml:space="preserve">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19" w:after="283"/>
        <w:jc w:val="both"/>
        <w:rPr>
          <w:rFonts w:ascii="sans-serif" w:hAnsi="sans-serif"/>
          <w:color w:val="000000"/>
          <w:sz w:val="20"/>
        </w:rPr>
      </w:pPr>
      <w:r>
        <w:rPr>
          <w:rFonts w:ascii="sans-serif" w:hAnsi="sans-serif"/>
          <w:color w:val="000000"/>
          <w:sz w:val="20"/>
        </w:rPr>
        <w:t>services. The Company applies the practical expedient in ASC 340-40-25-4 and expense sales commissions when incurred, as the amortization period of the asset we otherwise would have recognized is one year or less.</w:t>
      </w:r>
    </w:p>
    <w:p>
      <w:pPr>
        <w:pStyle w:val="TextBody"/>
        <w:bidi w:val="0"/>
        <w:spacing w:before="120" w:after="283"/>
        <w:jc w:val="both"/>
        <w:rPr>
          <w:rFonts w:ascii="sans-serif" w:hAnsi="sans-serif"/>
          <w:color w:val="000000"/>
          <w:sz w:val="20"/>
        </w:rPr>
      </w:pPr>
      <w:r>
        <w:rPr>
          <w:rFonts w:ascii="sans-serif" w:hAnsi="sans-serif"/>
          <w:color w:val="000000"/>
          <w:sz w:val="20"/>
        </w:rPr>
        <w:t>At contract inception, the Company assesses the goods or services promised in a contract and identifies each distinct performance obligation. A good or service is considered distinct if the customer can benefit from it on its own or together with other readily available resources, and the promise to transfer it is separately identifiable from other promises in the contract. Contracts with customers frequently include multiple performance obligations, each of which is evaluated using these criteria to ensure proper allocation of the transaction price.</w:t>
      </w:r>
    </w:p>
    <w:p>
      <w:pPr>
        <w:pStyle w:val="TextBody"/>
        <w:bidi w:val="0"/>
        <w:spacing w:before="121" w:after="283"/>
        <w:jc w:val="both"/>
        <w:rPr>
          <w:rFonts w:ascii="sans-serif" w:hAnsi="sans-serif"/>
          <w:color w:val="000000"/>
          <w:sz w:val="20"/>
        </w:rPr>
      </w:pPr>
      <w:r>
        <w:rPr>
          <w:rFonts w:ascii="sans-serif" w:hAnsi="sans-serif"/>
          <w:color w:val="000000"/>
          <w:sz w:val="20"/>
        </w:rPr>
        <w:t>The Company estimates the transaction price, including variable consideration based on transaction volumes or customer usage, at the commencement of the contract and recognizes revenue as control transfers rather than when fees become fixed or determinable.</w:t>
      </w:r>
    </w:p>
    <w:p>
      <w:pPr>
        <w:pStyle w:val="TextBody"/>
        <w:bidi w:val="0"/>
        <w:spacing w:before="120" w:after="283"/>
        <w:jc w:val="both"/>
        <w:rPr>
          <w:rFonts w:ascii="sans-serif" w:hAnsi="sans-serif"/>
          <w:color w:val="000000"/>
          <w:sz w:val="20"/>
        </w:rPr>
      </w:pPr>
      <w:r>
        <w:rPr>
          <w:rFonts w:ascii="sans-serif" w:hAnsi="sans-serif"/>
          <w:color w:val="000000"/>
          <w:sz w:val="20"/>
        </w:rPr>
        <w:t>The Company evaluates whether it acts as a principal or an agent in its arrangements and records revenue on a gross or net basis as appropriate. Taxes collected from customers and remitted to governmental authorities are excluded from revenue. The Company disaggregates its revenue from contracts with customers by type of service, which depicts how the nature, amount, timing, and uncertainty of revenue and cash flows are affected by economic factors. Revenue is recognized either at a point in time or over time depending on how the performance obligation is satisfied.</w:t>
      </w:r>
    </w:p>
    <w:p>
      <w:pPr>
        <w:pStyle w:val="TextBody"/>
        <w:bidi w:val="0"/>
        <w:spacing w:before="121" w:after="283"/>
        <w:jc w:val="both"/>
        <w:rPr>
          <w:rFonts w:ascii="sans-serif" w:hAnsi="sans-serif"/>
          <w:color w:val="000000"/>
          <w:sz w:val="20"/>
        </w:rPr>
      </w:pPr>
      <w:r>
        <w:rPr>
          <w:rFonts w:ascii="sans-serif" w:hAnsi="sans-serif"/>
          <w:color w:val="000000"/>
          <w:sz w:val="20"/>
        </w:rPr>
        <w:t>Print and Mail: Revenue from document fulfillment, print, and mail services is recognized at a point in time when the data is processed, documents are printed, folded, inserted, and delivered to the post office. These transaction-based services are typically billed in arrears based on actual transaction volumes.</w:t>
      </w:r>
    </w:p>
    <w:p>
      <w:pPr>
        <w:pStyle w:val="TextBody"/>
        <w:bidi w:val="0"/>
        <w:spacing w:before="119" w:after="283"/>
        <w:jc w:val="both"/>
        <w:rPr>
          <w:rFonts w:ascii="sans-serif" w:hAnsi="sans-serif"/>
          <w:color w:val="000000"/>
          <w:sz w:val="20"/>
        </w:rPr>
      </w:pPr>
      <w:r>
        <w:rPr>
          <w:rFonts w:ascii="sans-serif" w:hAnsi="sans-serif"/>
          <w:color w:val="000000"/>
          <w:sz w:val="20"/>
        </w:rPr>
        <w:t>Subscription Payments: Revenue from electronic billing and electronic payment platform transactions (including electronic communications, customer engagement, and notifications via text or email) is recognized at a point in time when the transaction is processed or when the notification is delivered to the client's end-customer.</w:t>
      </w:r>
    </w:p>
    <w:p>
      <w:pPr>
        <w:pStyle w:val="TextBody"/>
        <w:bidi w:val="0"/>
        <w:spacing w:before="120" w:after="283"/>
        <w:jc w:val="both"/>
        <w:rPr>
          <w:rFonts w:ascii="sans-serif" w:hAnsi="sans-serif"/>
          <w:color w:val="000000"/>
          <w:sz w:val="20"/>
        </w:rPr>
      </w:pPr>
      <w:r>
        <w:rPr>
          <w:rFonts w:ascii="sans-serif" w:hAnsi="sans-serif"/>
          <w:color w:val="000000"/>
          <w:sz w:val="20"/>
        </w:rPr>
        <w:t>EZ Pay: Performance obligations for EZ Pay services align with subscription payments and transaction processing mechanics. Revenue is recognized at a point in time as transactions are settled and the consideration becomes determinable, which corresponds to the timing of cash collection and settlement activity.</w:t>
      </w:r>
    </w:p>
    <w:p>
      <w:pPr>
        <w:pStyle w:val="TextBody"/>
        <w:bidi w:val="0"/>
        <w:spacing w:before="120" w:after="283"/>
        <w:jc w:val="both"/>
        <w:rPr>
          <w:rFonts w:ascii="sans-serif" w:hAnsi="sans-serif"/>
          <w:color w:val="000000"/>
          <w:sz w:val="20"/>
        </w:rPr>
      </w:pPr>
      <w:r>
        <w:rPr>
          <w:rFonts w:ascii="sans-serif" w:hAnsi="sans-serif"/>
          <w:color w:val="000000"/>
          <w:sz w:val="20"/>
        </w:rPr>
        <w:t>Recurring Revenue: Revenue from Software-as-a-Service ("SaaS") platform subscriptions, hosting arrangements, and annual support services is recognized over time on a straight-line basis over the contractual service period. Customers simultaneously receive and consume the benefits of these services on demand during the year regardless of usage frequency. These arrangements are typically invoiced in advance on an annual basis at contract signing.</w:t>
      </w:r>
    </w:p>
    <w:p>
      <w:pPr>
        <w:pStyle w:val="TextBody"/>
        <w:bidi w:val="0"/>
        <w:spacing w:before="120" w:after="283"/>
        <w:jc w:val="both"/>
        <w:rPr>
          <w:rFonts w:ascii="sans-serif" w:hAnsi="sans-serif"/>
          <w:color w:val="000000"/>
          <w:sz w:val="20"/>
        </w:rPr>
      </w:pPr>
      <w:r>
        <w:rPr>
          <w:rFonts w:ascii="sans-serif" w:hAnsi="sans-serif"/>
          <w:color w:val="000000"/>
          <w:sz w:val="20"/>
        </w:rPr>
        <w:t>Professional Services: Revenue from one-time professional services, consulting, implementation, and delivery arrangements is recognized over time or at a point in time depending on specific contract terms. For milestone-based contracts defined in Statements of Work ("SOW"), revenue is recognized as individual contract milestones are achieved and accepted. For other arrangements, performance obligations are completed when the final deliverables or work results are placed into production and in use by the customer.</w:t>
      </w:r>
    </w:p>
    <w:p>
      <w:pPr>
        <w:pStyle w:val="TextBody"/>
        <w:bidi w:val="0"/>
        <w:spacing w:before="121" w:after="283"/>
        <w:jc w:val="both"/>
        <w:rPr>
          <w:rFonts w:ascii="sans-serif" w:hAnsi="sans-serif"/>
          <w:color w:val="000000"/>
          <w:sz w:val="20"/>
        </w:rPr>
      </w:pPr>
      <w:r>
        <w:rPr>
          <w:rFonts w:ascii="sans-serif" w:hAnsi="sans-serif"/>
          <w:color w:val="000000"/>
          <w:sz w:val="20"/>
        </w:rPr>
        <w:t>Amounts invoiced in advance of revenue recognition are recorded as deferred revenue and recognized as revenue as the related performance obligations are satisfied. Amounts recognized as revenue prior to invoicing are recorded as contract assets when applicable.</w:t>
      </w:r>
    </w:p>
    <w:p>
      <w:pPr>
        <w:pStyle w:val="TextBody"/>
        <w:bidi w:val="0"/>
        <w:spacing w:before="119" w:after="283"/>
        <w:jc w:val="both"/>
        <w:rPr>
          <w:rFonts w:ascii="Times New Roman" w:hAnsi="Times New Roman"/>
          <w:sz w:val="20"/>
        </w:rPr>
      </w:pPr>
      <w:r>
        <w:rPr>
          <w:rFonts w:ascii="sans-serif" w:hAnsi="sans-serif"/>
          <w:b/>
          <w:color w:val="000000"/>
          <w:sz w:val="20"/>
        </w:rPr>
        <w:t>Payment Terms</w:t>
      </w:r>
      <w:r>
        <w:rPr>
          <w:rFonts w:ascii="sans-serif" w:hAnsi="sans-serif"/>
          <w:color w:val="000000"/>
          <w:sz w:val="20"/>
        </w:rPr>
        <w:t>:</w:t>
      </w:r>
    </w:p>
    <w:p>
      <w:pPr>
        <w:pStyle w:val="TextBody"/>
        <w:bidi w:val="0"/>
        <w:spacing w:before="118" w:after="283"/>
        <w:jc w:val="both"/>
        <w:rPr>
          <w:rFonts w:ascii="sans-serif" w:hAnsi="sans-serif"/>
          <w:color w:val="000000"/>
          <w:sz w:val="20"/>
        </w:rPr>
      </w:pPr>
      <w:r>
        <w:rPr>
          <w:rFonts w:ascii="sans-serif" w:hAnsi="sans-serif"/>
          <w:color w:val="000000"/>
          <w:sz w:val="20"/>
        </w:rPr>
        <w:t>The Company's payment terms are established by contract and generally require payment within 30 to 60 days of the invoice date. The time between the transfer of goods or services and receipt of payment is not significant. The Company's contracts with customers do not generally include significant financing components, rights of return, refund obligations, or warranty obligations. Certain contracts contain variable consideration based on transaction volumes or customer usage.</w:t>
      </w:r>
    </w:p>
    <w:p>
      <w:pPr>
        <w:pStyle w:val="TextBody"/>
        <w:bidi w:val="0"/>
        <w:spacing w:before="121" w:after="283"/>
        <w:jc w:val="both"/>
        <w:rPr>
          <w:rFonts w:ascii="sans-serif" w:hAnsi="sans-serif"/>
          <w:b/>
          <w:color w:val="000000"/>
          <w:sz w:val="20"/>
        </w:rPr>
      </w:pPr>
      <w:r>
        <w:rPr>
          <w:rFonts w:ascii="sans-serif" w:hAnsi="sans-serif"/>
          <w:b/>
          <w:color w:val="000000"/>
          <w:sz w:val="20"/>
        </w:rPr>
        <w:t>Deferred Revenue and Customer Deposits:</w:t>
      </w:r>
    </w:p>
    <w:p>
      <w:pPr>
        <w:pStyle w:val="TextBody"/>
        <w:bidi w:val="0"/>
        <w:spacing w:before="121" w:after="283"/>
        <w:jc w:val="both"/>
        <w:rPr>
          <w:rFonts w:ascii="sans-serif" w:hAnsi="sans-serif"/>
          <w:color w:val="000000"/>
          <w:sz w:val="20"/>
        </w:rPr>
      </w:pPr>
      <w:r>
        <w:rPr>
          <w:rFonts w:ascii="sans-serif" w:hAnsi="sans-serif"/>
          <w:color w:val="000000"/>
          <w:sz w:val="20"/>
        </w:rPr>
        <w:t>A contract asset results when goods or services have been transferred to the customer, but payment is contingent upon a future event, other than the passage of time (i.e., type of unbilled receivable). The Company does not have any material unbilled receivables, therefore, does not have any contract assets. The Company only has accounts receivable as disclosed on the face of the Company’s combined and consolidated balance sheet.</w:t>
      </w:r>
    </w:p>
    <w:p>
      <w:pPr>
        <w:pStyle w:val="TextBody"/>
        <w:bidi w:val="0"/>
        <w:spacing w:before="41" w:after="283"/>
        <w:jc w:val="both"/>
        <w:rPr>
          <w:rFonts w:ascii="sans-serif" w:hAnsi="sans-serif"/>
          <w:color w:val="000000"/>
          <w:sz w:val="20"/>
        </w:rPr>
      </w:pPr>
      <w:r>
        <w:rPr>
          <w:rFonts w:ascii="sans-serif" w:hAnsi="sans-serif"/>
          <w:color w:val="000000"/>
          <w:sz w:val="20"/>
        </w:rPr>
        <w:t>The Company records contract liabilities to deferred revenue when the Company receives customer payments in advance of the performance obligations being satisfied on the Company’s contracts. The Company generally invoices its customers monthly, quarterly, or annually in advance of services being provided.</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0"/>
        </w:rPr>
      </w:pPr>
      <w:r>
        <w:rPr>
          <w:rFonts w:ascii="sans-serif" w:hAnsi="sans-serif"/>
          <w:color w:val="000000"/>
          <w:sz w:val="20"/>
        </w:rPr>
        <w:t>The components of contract liabilities consisted of the following:</w:t>
      </w:r>
    </w:p>
    <w:p>
      <w:pPr>
        <w:pStyle w:val="TextBody"/>
        <w:bidi w:val="0"/>
        <w:jc w:val="left"/>
        <w:rPr/>
      </w:pPr>
      <w:r>
        <w:rPr/>
        <w:t> </w:t>
      </w:r>
    </w:p>
    <w:tbl>
      <w:tblPr>
        <w:tblW w:w="10142" w:type="dxa"/>
        <w:jc w:val="left"/>
        <w:tblInd w:w="0" w:type="dxa"/>
        <w:tblLayout w:type="fixed"/>
        <w:tblCellMar>
          <w:top w:w="28" w:type="dxa"/>
          <w:left w:w="28" w:type="dxa"/>
          <w:bottom w:w="28" w:type="dxa"/>
          <w:right w:w="28" w:type="dxa"/>
        </w:tblCellMar>
      </w:tblPr>
      <w:tblGrid>
        <w:gridCol w:w="4636"/>
        <w:gridCol w:w="1351"/>
        <w:gridCol w:w="294"/>
        <w:gridCol w:w="1799"/>
        <w:gridCol w:w="256"/>
        <w:gridCol w:w="1806"/>
      </w:tblGrid>
      <w:tr>
        <w:trPr/>
        <w:tc>
          <w:tcPr>
            <w:tcW w:w="463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r>
      <w:tr>
        <w:trPr/>
        <w:tc>
          <w:tcPr>
            <w:tcW w:w="4636" w:type="dxa"/>
            <w:tcBorders/>
            <w:tcMar>
              <w:top w:w="0" w:type="dxa"/>
              <w:left w:w="0" w:type="dxa"/>
              <w:bottom w:w="0" w:type="dxa"/>
              <w:right w:w="0" w:type="dxa"/>
            </w:tcMar>
            <w:vAlign w:val="center"/>
          </w:tcPr>
          <w:p>
            <w:pPr>
              <w:pStyle w:val="TableContents"/>
              <w:bidi w:val="0"/>
              <w:spacing w:before="0" w:after="283"/>
              <w:ind w:left="0" w:right="0" w:firstLine="3"/>
              <w:jc w:val="left"/>
              <w:rPr/>
            </w:pPr>
            <w:r>
              <w:rPr/>
              <w:t> </w:t>
            </w:r>
          </w:p>
        </w:tc>
        <w:tc>
          <w:tcPr>
            <w:tcW w:w="1351" w:type="dxa"/>
            <w:tcBorders/>
            <w:tcMar>
              <w:top w:w="0" w:type="dxa"/>
              <w:left w:w="0" w:type="dxa"/>
              <w:bottom w:w="0" w:type="dxa"/>
              <w:right w:w="0" w:type="dxa"/>
            </w:tcMar>
            <w:vAlign w:val="center"/>
          </w:tcPr>
          <w:p>
            <w:pPr>
              <w:pStyle w:val="TableContents"/>
              <w:bidi w:val="0"/>
              <w:ind w:left="0" w:right="0" w:firstLine="3"/>
              <w:jc w:val="center"/>
              <w:rPr>
                <w:rFonts w:ascii="sans-serif" w:hAnsi="sans-serif"/>
                <w:b/>
                <w:color w:val="000000"/>
                <w:sz w:val="20"/>
              </w:rPr>
            </w:pPr>
            <w:r>
              <w:rPr>
                <w:rFonts w:ascii="sans-serif" w:hAnsi="sans-serif"/>
                <w:b/>
                <w:color w:val="000000"/>
                <w:sz w:val="20"/>
              </w:rPr>
              <w:t>January 1,</w:t>
            </w:r>
          </w:p>
          <w:p>
            <w:pPr>
              <w:pStyle w:val="TableContents"/>
              <w:bidi w:val="0"/>
              <w:spacing w:before="0" w:after="283"/>
              <w:ind w:left="0" w:right="0" w:firstLine="3"/>
              <w:jc w:val="center"/>
              <w:rPr>
                <w:rFonts w:ascii="sans-serif" w:hAnsi="sans-serif"/>
                <w:b/>
                <w:color w:val="000000"/>
                <w:sz w:val="20"/>
              </w:rPr>
            </w:pPr>
            <w:r>
              <w:rPr>
                <w:rFonts w:ascii="sans-serif" w:hAnsi="sans-serif"/>
                <w:b/>
                <w:color w:val="000000"/>
                <w:sz w:val="20"/>
              </w:rPr>
              <w:t>2024</w:t>
            </w:r>
          </w:p>
        </w:tc>
        <w:tc>
          <w:tcPr>
            <w:tcW w:w="294" w:type="dxa"/>
            <w:tcBorders/>
            <w:tcMar>
              <w:top w:w="0" w:type="dxa"/>
              <w:left w:w="0" w:type="dxa"/>
              <w:bottom w:w="0" w:type="dxa"/>
              <w:right w:w="0" w:type="dxa"/>
            </w:tcMar>
            <w:vAlign w:val="center"/>
          </w:tcPr>
          <w:p>
            <w:pPr>
              <w:pStyle w:val="TableContents"/>
              <w:bidi w:val="0"/>
              <w:spacing w:before="0" w:after="283"/>
              <w:ind w:left="0" w:right="0" w:firstLine="148"/>
              <w:jc w:val="center"/>
              <w:rPr/>
            </w:pPr>
            <w:r>
              <w:rPr/>
              <w:t> </w:t>
            </w:r>
          </w:p>
        </w:tc>
        <w:tc>
          <w:tcPr>
            <w:tcW w:w="1799" w:type="dxa"/>
            <w:tcBorders/>
            <w:tcMar>
              <w:top w:w="0" w:type="dxa"/>
              <w:left w:w="0" w:type="dxa"/>
              <w:bottom w:w="0" w:type="dxa"/>
              <w:right w:w="0" w:type="dxa"/>
            </w:tcMar>
            <w:vAlign w:val="center"/>
          </w:tcPr>
          <w:p>
            <w:pPr>
              <w:pStyle w:val="TableContents"/>
              <w:bidi w:val="0"/>
              <w:ind w:left="0" w:right="0" w:firstLine="148"/>
              <w:jc w:val="center"/>
              <w:rPr>
                <w:rFonts w:ascii="sans-serif" w:hAnsi="sans-serif"/>
                <w:b/>
                <w:color w:val="000000"/>
                <w:sz w:val="20"/>
              </w:rPr>
            </w:pPr>
            <w:r>
              <w:rPr>
                <w:rFonts w:ascii="sans-serif" w:hAnsi="sans-serif"/>
                <w:b/>
                <w:color w:val="000000"/>
                <w:sz w:val="20"/>
              </w:rPr>
              <w:t>December 31,</w:t>
            </w:r>
          </w:p>
          <w:p>
            <w:pPr>
              <w:pStyle w:val="TableContents"/>
              <w:bidi w:val="0"/>
              <w:spacing w:before="0" w:after="283"/>
              <w:ind w:left="0" w:right="0" w:firstLine="148"/>
              <w:jc w:val="center"/>
              <w:rPr>
                <w:rFonts w:ascii="sans-serif" w:hAnsi="sans-serif"/>
                <w:b/>
                <w:color w:val="000000"/>
                <w:sz w:val="20"/>
              </w:rPr>
            </w:pPr>
            <w:r>
              <w:rPr>
                <w:rFonts w:ascii="sans-serif" w:hAnsi="sans-serif"/>
                <w:b/>
                <w:color w:val="000000"/>
                <w:sz w:val="20"/>
              </w:rPr>
              <w:t>2024</w:t>
            </w:r>
          </w:p>
        </w:tc>
        <w:tc>
          <w:tcPr>
            <w:tcW w:w="256" w:type="dxa"/>
            <w:tcBorders/>
            <w:tcMar>
              <w:top w:w="0" w:type="dxa"/>
              <w:left w:w="0" w:type="dxa"/>
              <w:bottom w:w="0" w:type="dxa"/>
              <w:right w:w="0" w:type="dxa"/>
            </w:tcMar>
            <w:vAlign w:val="center"/>
          </w:tcPr>
          <w:p>
            <w:pPr>
              <w:pStyle w:val="TableContents"/>
              <w:bidi w:val="0"/>
              <w:spacing w:before="0" w:after="283"/>
              <w:ind w:left="0" w:right="0" w:firstLine="110"/>
              <w:jc w:val="center"/>
              <w:rPr/>
            </w:pPr>
            <w:r>
              <w:rPr/>
              <w:t> </w:t>
            </w:r>
          </w:p>
        </w:tc>
        <w:tc>
          <w:tcPr>
            <w:tcW w:w="1806" w:type="dxa"/>
            <w:tcBorders/>
            <w:tcMar>
              <w:top w:w="0" w:type="dxa"/>
              <w:left w:w="0" w:type="dxa"/>
              <w:bottom w:w="0" w:type="dxa"/>
              <w:right w:w="0" w:type="dxa"/>
            </w:tcMar>
            <w:vAlign w:val="center"/>
          </w:tcPr>
          <w:p>
            <w:pPr>
              <w:pStyle w:val="TableContents"/>
              <w:bidi w:val="0"/>
              <w:ind w:left="0" w:right="0" w:firstLine="110"/>
              <w:jc w:val="center"/>
              <w:rPr>
                <w:rFonts w:ascii="sans-serif" w:hAnsi="sans-serif"/>
                <w:b/>
                <w:color w:val="000000"/>
                <w:sz w:val="20"/>
              </w:rPr>
            </w:pPr>
            <w:r>
              <w:rPr>
                <w:rFonts w:ascii="sans-serif" w:hAnsi="sans-serif"/>
                <w:b/>
                <w:color w:val="000000"/>
                <w:sz w:val="20"/>
              </w:rPr>
              <w:t>December 31,</w:t>
            </w:r>
          </w:p>
          <w:p>
            <w:pPr>
              <w:pStyle w:val="TableContents"/>
              <w:bidi w:val="0"/>
              <w:spacing w:before="0" w:after="283"/>
              <w:ind w:left="0" w:right="0" w:firstLine="50"/>
              <w:jc w:val="center"/>
              <w:rPr>
                <w:rFonts w:ascii="sans-serif" w:hAnsi="sans-serif"/>
                <w:b/>
                <w:color w:val="000000"/>
                <w:sz w:val="20"/>
              </w:rPr>
            </w:pPr>
            <w:r>
              <w:rPr>
                <w:rFonts w:ascii="sans-serif" w:hAnsi="sans-serif"/>
                <w:b/>
                <w:color w:val="000000"/>
                <w:sz w:val="20"/>
              </w:rPr>
              <w:t>2025</w:t>
            </w:r>
          </w:p>
        </w:tc>
      </w:tr>
      <w:tr>
        <w:trPr/>
        <w:tc>
          <w:tcPr>
            <w:tcW w:w="4636"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color w:val="000000"/>
                <w:sz w:val="20"/>
              </w:rPr>
            </w:pPr>
            <w:r>
              <w:rPr>
                <w:rFonts w:ascii="sans-serif" w:hAnsi="sans-serif"/>
                <w:color w:val="000000"/>
                <w:sz w:val="20"/>
              </w:rPr>
              <w:t>Contract liabilities</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tcMar>
              <w:top w:w="0" w:type="dxa"/>
              <w:left w:w="0" w:type="dxa"/>
              <w:bottom w:w="0" w:type="dxa"/>
              <w:right w:w="0" w:type="dxa"/>
            </w:tcMar>
            <w:vAlign w:val="center"/>
          </w:tcPr>
          <w:p>
            <w:pPr>
              <w:pStyle w:val="TableContents"/>
              <w:bidi w:val="0"/>
              <w:spacing w:before="0" w:after="283"/>
              <w:jc w:val="left"/>
              <w:rPr/>
            </w:pPr>
            <w:r>
              <w:rPr/>
              <w:t> </w:t>
            </w:r>
          </w:p>
        </w:tc>
        <w:tc>
          <w:tcPr>
            <w:tcW w:w="1799"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80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4636" w:type="dxa"/>
            <w:tcBorders/>
            <w:tcMar>
              <w:top w:w="0" w:type="dxa"/>
              <w:left w:w="0" w:type="dxa"/>
              <w:bottom w:w="0" w:type="dxa"/>
              <w:right w:w="0" w:type="dxa"/>
            </w:tcMar>
            <w:vAlign w:val="center"/>
          </w:tcPr>
          <w:p>
            <w:pPr>
              <w:pStyle w:val="TableContents"/>
              <w:bidi w:val="0"/>
              <w:spacing w:before="0" w:after="283"/>
              <w:ind w:left="0" w:right="0" w:firstLine="150"/>
              <w:jc w:val="left"/>
              <w:rPr>
                <w:rFonts w:ascii="sans-serif" w:hAnsi="sans-serif"/>
                <w:color w:val="000000"/>
                <w:sz w:val="20"/>
              </w:rPr>
            </w:pPr>
            <w:r>
              <w:rPr>
                <w:rFonts w:ascii="sans-serif" w:hAnsi="sans-serif"/>
                <w:color w:val="000000"/>
                <w:sz w:val="20"/>
              </w:rPr>
              <w:t>Deferred revenue</w:t>
            </w:r>
          </w:p>
        </w:tc>
        <w:tc>
          <w:tcPr>
            <w:tcW w:w="135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$11,080,649</w:t>
            </w:r>
          </w:p>
        </w:tc>
        <w:tc>
          <w:tcPr>
            <w:tcW w:w="294" w:type="dxa"/>
            <w:tcBorders/>
            <w:tcMar>
              <w:top w:w="0" w:type="dxa"/>
              <w:left w:w="0" w:type="dxa"/>
              <w:bottom w:w="0" w:type="dxa"/>
              <w:right w:w="0" w:type="dxa"/>
            </w:tcMar>
            <w:vAlign w:val="center"/>
          </w:tcPr>
          <w:p>
            <w:pPr>
              <w:pStyle w:val="TableContents"/>
              <w:bidi w:val="0"/>
              <w:spacing w:before="0" w:after="283"/>
              <w:jc w:val="left"/>
              <w:rPr/>
            </w:pPr>
            <w:r>
              <w:rPr/>
              <w:t> </w:t>
            </w:r>
          </w:p>
        </w:tc>
        <w:tc>
          <w:tcPr>
            <w:tcW w:w="179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$9,538,950</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806" w:type="dxa"/>
            <w:tcBorders/>
            <w:tcMar>
              <w:top w:w="0" w:type="dxa"/>
              <w:left w:w="0" w:type="dxa"/>
              <w:bottom w:w="0" w:type="dxa"/>
              <w:right w:w="0" w:type="dxa"/>
            </w:tcMar>
            <w:vAlign w:val="center"/>
          </w:tcPr>
          <w:p>
            <w:pPr>
              <w:pStyle w:val="TableContents"/>
              <w:bidi w:val="0"/>
              <w:spacing w:before="0" w:after="283"/>
              <w:ind w:left="0" w:right="0" w:firstLine="150"/>
              <w:jc w:val="right"/>
              <w:rPr>
                <w:rFonts w:ascii="sans-serif" w:hAnsi="sans-serif"/>
                <w:color w:val="000000"/>
                <w:sz w:val="20"/>
              </w:rPr>
            </w:pPr>
            <w:r>
              <w:rPr>
                <w:rFonts w:ascii="sans-serif" w:hAnsi="sans-serif"/>
                <w:color w:val="000000"/>
                <w:sz w:val="20"/>
              </w:rPr>
              <w:t>$8,631,740</w:t>
            </w:r>
          </w:p>
        </w:tc>
      </w:tr>
      <w:tr>
        <w:trPr/>
        <w:tc>
          <w:tcPr>
            <w:tcW w:w="4636" w:type="dxa"/>
            <w:tcBorders/>
            <w:tcMar>
              <w:top w:w="0" w:type="dxa"/>
              <w:left w:w="0" w:type="dxa"/>
              <w:bottom w:w="0" w:type="dxa"/>
              <w:right w:w="0" w:type="dxa"/>
            </w:tcMar>
            <w:vAlign w:val="center"/>
          </w:tcPr>
          <w:p>
            <w:pPr>
              <w:pStyle w:val="TableContents"/>
              <w:bidi w:val="0"/>
              <w:spacing w:before="0" w:after="283"/>
              <w:ind w:left="0" w:right="0" w:firstLine="150"/>
              <w:jc w:val="left"/>
              <w:rPr>
                <w:rFonts w:ascii="sans-serif" w:hAnsi="sans-serif"/>
                <w:color w:val="000000"/>
                <w:sz w:val="20"/>
              </w:rPr>
            </w:pPr>
            <w:r>
              <w:rPr>
                <w:rFonts w:ascii="sans-serif" w:hAnsi="sans-serif"/>
                <w:color w:val="000000"/>
                <w:sz w:val="20"/>
              </w:rPr>
              <w:t>Other contract liabilities (customer deposits)</w:t>
            </w:r>
          </w:p>
        </w:tc>
        <w:tc>
          <w:tcPr>
            <w:tcW w:w="13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14,027,998</w:t>
            </w:r>
          </w:p>
        </w:tc>
        <w:tc>
          <w:tcPr>
            <w:tcW w:w="29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9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15,222,141</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06"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16,408,141</w:t>
            </w:r>
          </w:p>
        </w:tc>
      </w:tr>
      <w:tr>
        <w:trPr/>
        <w:tc>
          <w:tcPr>
            <w:tcW w:w="4636"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color w:val="000000"/>
                <w:sz w:val="20"/>
              </w:rPr>
            </w:pPr>
            <w:r>
              <w:rPr>
                <w:rFonts w:ascii="sans-serif" w:hAnsi="sans-serif"/>
                <w:color w:val="000000"/>
                <w:sz w:val="20"/>
              </w:rPr>
              <w:t>Total contract liabilities</w:t>
            </w:r>
          </w:p>
        </w:tc>
        <w:tc>
          <w:tcPr>
            <w:tcW w:w="135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sans-serif" w:hAnsi="sans-serif"/>
                <w:color w:val="000000"/>
                <w:sz w:val="20"/>
              </w:rPr>
              <w:t>$25,108,647</w:t>
            </w:r>
            <w:r>
              <w:rPr>
                <w:rFonts w:ascii="Times New Roman" w:hAnsi="Times New Roman"/>
                <w:color w:val="000000"/>
                <w:sz w:val="20"/>
              </w:rPr>
              <w:t xml:space="preserve"> </w:t>
            </w:r>
          </w:p>
        </w:tc>
        <w:tc>
          <w:tcPr>
            <w:tcW w:w="294"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79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sans-serif" w:hAnsi="sans-serif"/>
                <w:color w:val="000000"/>
                <w:sz w:val="20"/>
              </w:rPr>
              <w:t>$24,761,091</w:t>
            </w:r>
            <w:r>
              <w:rPr>
                <w:rFonts w:ascii="Times New Roman" w:hAnsi="Times New Roman"/>
                <w:color w:val="000000"/>
                <w:sz w:val="20"/>
              </w:rPr>
              <w:t xml:space="preserve">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80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sans-serif" w:hAnsi="sans-serif"/>
                <w:color w:val="000000"/>
                <w:sz w:val="20"/>
              </w:rPr>
              <w:t>$25,039,881</w:t>
            </w:r>
            <w:r>
              <w:rPr>
                <w:rFonts w:ascii="Times New Roman" w:hAnsi="Times New Roman"/>
                <w:color w:val="000000"/>
                <w:sz w:val="20"/>
              </w:rPr>
              <w:t xml:space="preserve"> </w:t>
            </w:r>
          </w:p>
        </w:tc>
      </w:tr>
    </w:tbl>
    <w:p>
      <w:pPr>
        <w:pStyle w:val="TextBody"/>
        <w:bidi w:val="0"/>
        <w:spacing w:before="37" w:after="283"/>
        <w:jc w:val="both"/>
        <w:rPr>
          <w:rFonts w:ascii="sans-serif" w:hAnsi="sans-serif"/>
          <w:color w:val="000000"/>
          <w:sz w:val="20"/>
        </w:rPr>
      </w:pPr>
      <w:r>
        <w:rPr>
          <w:rFonts w:ascii="sans-serif" w:hAnsi="sans-serif"/>
          <w:color w:val="000000"/>
          <w:sz w:val="20"/>
        </w:rPr>
        <w:t>Deferred revenue and other contract liabilities are reported as contract liabilities in the accompanying combined and consolidated balance sheets. Contract liabilities include payments received and billings made in advance of the satisfaction of performance obligations under the contract and are realized when the associated revenue is recognized under the contract. The Company requires postage deposits from certain clients based on long-term contractual arrangements. The amounts are due upon contract termination and, as such, have been classified as current.</w:t>
      </w:r>
    </w:p>
    <w:p>
      <w:pPr>
        <w:pStyle w:val="TextBody"/>
        <w:bidi w:val="0"/>
        <w:spacing w:before="38" w:after="283"/>
        <w:jc w:val="left"/>
        <w:rPr/>
      </w:pPr>
      <w:r>
        <w:rPr/>
        <w:t> </w:t>
      </w:r>
    </w:p>
    <w:tbl>
      <w:tblPr>
        <w:tblW w:w="6650" w:type="dxa"/>
        <w:jc w:val="left"/>
        <w:tblInd w:w="0" w:type="dxa"/>
        <w:tblLayout w:type="fixed"/>
        <w:tblCellMar>
          <w:top w:w="28" w:type="dxa"/>
          <w:left w:w="28" w:type="dxa"/>
          <w:bottom w:w="28" w:type="dxa"/>
          <w:right w:w="28" w:type="dxa"/>
        </w:tblCellMar>
      </w:tblPr>
      <w:tblGrid>
        <w:gridCol w:w="3591"/>
        <w:gridCol w:w="1426"/>
        <w:gridCol w:w="1633"/>
      </w:tblGrid>
      <w:tr>
        <w:trPr/>
        <w:tc>
          <w:tcPr>
            <w:tcW w:w="359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633" w:type="dxa"/>
            <w:tcBorders/>
            <w:tcMar>
              <w:top w:w="0" w:type="dxa"/>
              <w:left w:w="0" w:type="dxa"/>
              <w:bottom w:w="0" w:type="dxa"/>
              <w:right w:w="0" w:type="dxa"/>
            </w:tcMar>
            <w:vAlign w:val="center"/>
          </w:tcPr>
          <w:p>
            <w:pPr>
              <w:pStyle w:val="TableContents"/>
              <w:bidi w:val="0"/>
              <w:spacing w:before="0" w:after="283"/>
              <w:ind w:left="0" w:right="0" w:firstLine="50"/>
              <w:jc w:val="center"/>
              <w:rPr>
                <w:rFonts w:ascii="sans-serif" w:hAnsi="sans-serif"/>
                <w:b/>
                <w:color w:val="000000"/>
                <w:sz w:val="20"/>
              </w:rPr>
            </w:pPr>
            <w:r>
              <w:rPr>
                <w:rFonts w:ascii="sans-serif" w:hAnsi="sans-serif"/>
                <w:b/>
                <w:color w:val="000000"/>
                <w:sz w:val="20"/>
              </w:rPr>
              <w:t>2024</w:t>
            </w:r>
          </w:p>
        </w:tc>
      </w:tr>
      <w:tr>
        <w:trPr/>
        <w:tc>
          <w:tcPr>
            <w:tcW w:w="3591" w:type="dxa"/>
            <w:tcBorders/>
            <w:tcMar>
              <w:top w:w="0" w:type="dxa"/>
              <w:left w:w="0" w:type="dxa"/>
              <w:bottom w:w="0" w:type="dxa"/>
              <w:right w:w="0" w:type="dxa"/>
            </w:tcMar>
            <w:vAlign w:val="center"/>
          </w:tcPr>
          <w:p>
            <w:pPr>
              <w:pStyle w:val="TableContents"/>
              <w:bidi w:val="0"/>
              <w:spacing w:before="3" w:after="283"/>
              <w:ind w:left="0" w:right="0" w:firstLine="50"/>
              <w:jc w:val="left"/>
              <w:rPr>
                <w:rFonts w:ascii="sans-serif" w:hAnsi="sans-serif"/>
                <w:color w:val="000000"/>
                <w:sz w:val="20"/>
              </w:rPr>
            </w:pPr>
            <w:r>
              <w:rPr>
                <w:rFonts w:ascii="sans-serif" w:hAnsi="sans-serif"/>
                <w:color w:val="000000"/>
                <w:sz w:val="20"/>
              </w:rPr>
              <w:t>Geographic Information - Revenue:</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tcMar>
              <w:top w:w="0" w:type="dxa"/>
              <w:left w:w="0" w:type="dxa"/>
              <w:bottom w:w="0" w:type="dxa"/>
              <w:right w:w="0" w:type="dxa"/>
            </w:tcMar>
            <w:vAlign w:val="center"/>
          </w:tcPr>
          <w:p>
            <w:pPr>
              <w:pStyle w:val="TableContents"/>
              <w:bidi w:val="0"/>
              <w:spacing w:before="0" w:after="283"/>
              <w:ind w:left="0" w:right="0" w:firstLine="162"/>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3" w:after="283"/>
              <w:ind w:left="0" w:right="0" w:firstLine="162"/>
              <w:jc w:val="left"/>
              <w:rPr>
                <w:rFonts w:ascii="sans-serif" w:hAnsi="sans-serif"/>
                <w:color w:val="000000"/>
                <w:sz w:val="20"/>
              </w:rPr>
            </w:pPr>
            <w:r>
              <w:rPr>
                <w:rFonts w:ascii="sans-serif" w:hAnsi="sans-serif"/>
                <w:color w:val="000000"/>
                <w:sz w:val="20"/>
              </w:rPr>
              <w:t>United States</w:t>
            </w:r>
          </w:p>
        </w:tc>
        <w:tc>
          <w:tcPr>
            <w:tcW w:w="1426" w:type="dxa"/>
            <w:tcBorders/>
            <w:tcMar>
              <w:top w:w="0" w:type="dxa"/>
              <w:left w:w="0" w:type="dxa"/>
              <w:bottom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$228,939,614</w:t>
            </w:r>
          </w:p>
        </w:tc>
        <w:tc>
          <w:tcPr>
            <w:tcW w:w="1633" w:type="dxa"/>
            <w:tcBorders/>
            <w:tcMar>
              <w:top w:w="0" w:type="dxa"/>
              <w:left w:w="0" w:type="dxa"/>
              <w:bottom w:w="0" w:type="dxa"/>
              <w:right w:w="0" w:type="dxa"/>
            </w:tcMar>
            <w:vAlign w:val="center"/>
          </w:tcPr>
          <w:p>
            <w:pPr>
              <w:pStyle w:val="TableContents"/>
              <w:bidi w:val="0"/>
              <w:spacing w:before="3" w:after="283"/>
              <w:ind w:left="0" w:right="0" w:firstLine="162"/>
              <w:jc w:val="right"/>
              <w:rPr>
                <w:rFonts w:ascii="sans-serif" w:hAnsi="sans-serif"/>
                <w:color w:val="000000"/>
                <w:sz w:val="20"/>
              </w:rPr>
            </w:pPr>
            <w:r>
              <w:rPr>
                <w:rFonts w:ascii="sans-serif" w:hAnsi="sans-serif"/>
                <w:color w:val="000000"/>
                <w:sz w:val="20"/>
              </w:rPr>
              <w:t>$217,620,116</w:t>
            </w:r>
          </w:p>
        </w:tc>
      </w:tr>
      <w:tr>
        <w:trPr/>
        <w:tc>
          <w:tcPr>
            <w:tcW w:w="3591" w:type="dxa"/>
            <w:tcBorders/>
            <w:tcMar>
              <w:top w:w="0" w:type="dxa"/>
              <w:left w:w="0" w:type="dxa"/>
              <w:bottom w:w="0" w:type="dxa"/>
              <w:right w:w="0" w:type="dxa"/>
            </w:tcMar>
            <w:vAlign w:val="center"/>
          </w:tcPr>
          <w:p>
            <w:pPr>
              <w:pStyle w:val="TableContents"/>
              <w:bidi w:val="0"/>
              <w:spacing w:before="3" w:after="283"/>
              <w:ind w:left="0" w:right="0" w:firstLine="162"/>
              <w:jc w:val="left"/>
              <w:rPr>
                <w:rFonts w:ascii="sans-serif" w:hAnsi="sans-serif"/>
                <w:color w:val="000000"/>
                <w:sz w:val="20"/>
              </w:rPr>
            </w:pPr>
            <w:r>
              <w:rPr>
                <w:rFonts w:ascii="sans-serif" w:hAnsi="sans-serif"/>
                <w:color w:val="000000"/>
                <w:sz w:val="20"/>
              </w:rPr>
              <w:t>Canada</w:t>
            </w:r>
          </w:p>
        </w:tc>
        <w:tc>
          <w:tcPr>
            <w:tcW w:w="1426" w:type="dxa"/>
            <w:tcBorders/>
            <w:tcMar>
              <w:top w:w="0" w:type="dxa"/>
              <w:left w:w="0" w:type="dxa"/>
              <w:bottom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17,676,060</w:t>
            </w:r>
          </w:p>
        </w:tc>
        <w:tc>
          <w:tcPr>
            <w:tcW w:w="1633" w:type="dxa"/>
            <w:tcBorders/>
            <w:tcMar>
              <w:top w:w="0" w:type="dxa"/>
              <w:left w:w="0" w:type="dxa"/>
              <w:bottom w:w="0" w:type="dxa"/>
              <w:right w:w="0" w:type="dxa"/>
            </w:tcMar>
            <w:vAlign w:val="center"/>
          </w:tcPr>
          <w:p>
            <w:pPr>
              <w:pStyle w:val="TableContents"/>
              <w:bidi w:val="0"/>
              <w:spacing w:before="3" w:after="283"/>
              <w:ind w:left="0" w:right="0" w:firstLine="162"/>
              <w:jc w:val="right"/>
              <w:rPr>
                <w:rFonts w:ascii="sans-serif" w:hAnsi="sans-serif"/>
                <w:color w:val="000000"/>
                <w:sz w:val="20"/>
              </w:rPr>
            </w:pPr>
            <w:r>
              <w:rPr>
                <w:rFonts w:ascii="sans-serif" w:hAnsi="sans-serif"/>
                <w:color w:val="000000"/>
                <w:sz w:val="20"/>
              </w:rPr>
              <w:t>17,727,720</w:t>
            </w:r>
          </w:p>
        </w:tc>
      </w:tr>
      <w:tr>
        <w:trPr/>
        <w:tc>
          <w:tcPr>
            <w:tcW w:w="3591" w:type="dxa"/>
            <w:tcBorders/>
            <w:tcMar>
              <w:top w:w="0" w:type="dxa"/>
              <w:left w:w="0" w:type="dxa"/>
              <w:bottom w:w="0" w:type="dxa"/>
              <w:right w:w="0" w:type="dxa"/>
            </w:tcMar>
            <w:vAlign w:val="center"/>
          </w:tcPr>
          <w:p>
            <w:pPr>
              <w:pStyle w:val="TableContents"/>
              <w:bidi w:val="0"/>
              <w:spacing w:before="3" w:after="283"/>
              <w:ind w:left="0" w:right="0" w:firstLine="162"/>
              <w:jc w:val="left"/>
              <w:rPr>
                <w:rFonts w:ascii="sans-serif" w:hAnsi="sans-serif"/>
                <w:color w:val="000000"/>
                <w:sz w:val="20"/>
              </w:rPr>
            </w:pPr>
            <w:r>
              <w:rPr>
                <w:rFonts w:ascii="sans-serif" w:hAnsi="sans-serif"/>
                <w:color w:val="000000"/>
                <w:sz w:val="20"/>
              </w:rPr>
              <w:t>Other foreign revenue</w:t>
            </w:r>
          </w:p>
        </w:tc>
        <w:tc>
          <w:tcPr>
            <w:tcW w:w="1426" w:type="dxa"/>
            <w:tcBorders>
              <w:bottom w:val="single" w:sz="2" w:space="0" w:color="000000"/>
            </w:tcBorders>
            <w:tcMar>
              <w:top w:w="0" w:type="dxa"/>
              <w:left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8,156</w:t>
            </w:r>
          </w:p>
        </w:tc>
        <w:tc>
          <w:tcPr>
            <w:tcW w:w="1633" w:type="dxa"/>
            <w:tcBorders>
              <w:bottom w:val="single" w:sz="2" w:space="0" w:color="000000"/>
            </w:tcBorders>
            <w:tcMar>
              <w:top w:w="0" w:type="dxa"/>
              <w:left w:w="0" w:type="dxa"/>
              <w:right w:w="0" w:type="dxa"/>
            </w:tcMar>
            <w:vAlign w:val="center"/>
          </w:tcPr>
          <w:p>
            <w:pPr>
              <w:pStyle w:val="TableContents"/>
              <w:bidi w:val="0"/>
              <w:spacing w:before="3" w:after="283"/>
              <w:ind w:left="0" w:right="0" w:firstLine="50"/>
              <w:jc w:val="right"/>
              <w:rPr>
                <w:rFonts w:ascii="sans-serif" w:hAnsi="sans-serif"/>
                <w:color w:val="000000"/>
                <w:sz w:val="20"/>
              </w:rPr>
            </w:pPr>
            <w:r>
              <w:rPr>
                <w:rFonts w:ascii="sans-serif" w:hAnsi="sans-serif"/>
                <w:color w:val="000000"/>
                <w:sz w:val="20"/>
              </w:rPr>
              <w:t>8,478</w:t>
            </w:r>
          </w:p>
        </w:tc>
      </w:tr>
      <w:tr>
        <w:trPr/>
        <w:tc>
          <w:tcPr>
            <w:tcW w:w="3591" w:type="dxa"/>
            <w:tcBorders/>
            <w:tcMar>
              <w:top w:w="0" w:type="dxa"/>
              <w:left w:w="0" w:type="dxa"/>
              <w:bottom w:w="0" w:type="dxa"/>
              <w:right w:w="0" w:type="dxa"/>
            </w:tcMar>
            <w:vAlign w:val="center"/>
          </w:tcPr>
          <w:p>
            <w:pPr>
              <w:pStyle w:val="TableContents"/>
              <w:bidi w:val="0"/>
              <w:spacing w:before="1" w:after="283"/>
              <w:ind w:left="0" w:right="0" w:firstLine="50"/>
              <w:jc w:val="left"/>
              <w:rPr>
                <w:rFonts w:ascii="sans-serif" w:hAnsi="sans-serif"/>
                <w:color w:val="000000"/>
                <w:sz w:val="20"/>
              </w:rPr>
            </w:pPr>
            <w:r>
              <w:rPr>
                <w:rFonts w:ascii="sans-serif" w:hAnsi="sans-serif"/>
                <w:color w:val="000000"/>
                <w:sz w:val="20"/>
              </w:rPr>
              <w:t>Total Revenue</w:t>
            </w:r>
          </w:p>
        </w:tc>
        <w:tc>
          <w:tcPr>
            <w:tcW w:w="1426" w:type="dxa"/>
            <w:tcBorders>
              <w:bottom w:val="double" w:sz="4" w:space="0" w:color="000000"/>
            </w:tcBorders>
            <w:tcMar>
              <w:top w:w="0" w:type="dxa"/>
              <w:left w:w="0" w:type="dxa"/>
              <w:right w:w="0" w:type="dxa"/>
            </w:tcMar>
            <w:vAlign w:val="center"/>
          </w:tcPr>
          <w:p>
            <w:pPr>
              <w:pStyle w:val="TableContents"/>
              <w:bidi w:val="0"/>
              <w:spacing w:before="1" w:after="283"/>
              <w:jc w:val="right"/>
              <w:rPr>
                <w:rFonts w:ascii="sans-serif" w:hAnsi="sans-serif"/>
                <w:color w:val="000000"/>
                <w:sz w:val="20"/>
              </w:rPr>
            </w:pPr>
            <w:r>
              <w:rPr>
                <w:rFonts w:ascii="sans-serif" w:hAnsi="sans-serif"/>
                <w:color w:val="000000"/>
                <w:sz w:val="20"/>
              </w:rPr>
              <w:t>$246,623,830</w:t>
            </w:r>
          </w:p>
        </w:tc>
        <w:tc>
          <w:tcPr>
            <w:tcW w:w="1633" w:type="dxa"/>
            <w:tcBorders>
              <w:bottom w:val="double" w:sz="4" w:space="0" w:color="000000"/>
            </w:tcBorders>
            <w:tcMar>
              <w:top w:w="0" w:type="dxa"/>
              <w:left w:w="0" w:type="dxa"/>
              <w:right w:w="0" w:type="dxa"/>
            </w:tcMar>
            <w:vAlign w:val="center"/>
          </w:tcPr>
          <w:p>
            <w:pPr>
              <w:pStyle w:val="TableContents"/>
              <w:bidi w:val="0"/>
              <w:spacing w:before="1" w:after="283"/>
              <w:jc w:val="right"/>
              <w:rPr>
                <w:rFonts w:ascii="sans-serif" w:hAnsi="sans-serif"/>
                <w:color w:val="000000"/>
                <w:sz w:val="20"/>
              </w:rPr>
            </w:pPr>
            <w:r>
              <w:rPr>
                <w:rFonts w:ascii="sans-serif" w:hAnsi="sans-serif"/>
                <w:color w:val="000000"/>
                <w:sz w:val="20"/>
              </w:rPr>
              <w:t>$235,356,314</w:t>
            </w:r>
          </w:p>
        </w:tc>
      </w:tr>
    </w:tbl>
    <w:p>
      <w:pPr>
        <w:pStyle w:val="TextBody"/>
        <w:bidi w:val="0"/>
        <w:spacing w:before="43" w:after="283"/>
        <w:jc w:val="left"/>
        <w:rPr/>
      </w:pPr>
      <w:r>
        <w:rPr/>
        <w:t> </w:t>
      </w:r>
    </w:p>
    <w:tbl>
      <w:tblPr>
        <w:tblW w:w="5885" w:type="dxa"/>
        <w:jc w:val="left"/>
        <w:tblInd w:w="0" w:type="dxa"/>
        <w:tblLayout w:type="fixed"/>
        <w:tblCellMar>
          <w:top w:w="28" w:type="dxa"/>
          <w:left w:w="28" w:type="dxa"/>
          <w:bottom w:w="28" w:type="dxa"/>
          <w:right w:w="28" w:type="dxa"/>
        </w:tblCellMar>
      </w:tblPr>
      <w:tblGrid>
        <w:gridCol w:w="2886"/>
        <w:gridCol w:w="1426"/>
        <w:gridCol w:w="1573"/>
      </w:tblGrid>
      <w:tr>
        <w:trPr/>
        <w:tc>
          <w:tcPr>
            <w:tcW w:w="288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2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573" w:type="dxa"/>
            <w:tcBorders/>
            <w:tcMar>
              <w:top w:w="0" w:type="dxa"/>
              <w:left w:w="0" w:type="dxa"/>
              <w:bottom w:w="0" w:type="dxa"/>
              <w:right w:w="0" w:type="dxa"/>
            </w:tcMar>
            <w:vAlign w:val="center"/>
          </w:tcPr>
          <w:p>
            <w:pPr>
              <w:pStyle w:val="TableContents"/>
              <w:bidi w:val="0"/>
              <w:spacing w:before="0" w:after="283"/>
              <w:ind w:left="0" w:right="0" w:firstLine="50"/>
              <w:jc w:val="center"/>
              <w:rPr>
                <w:rFonts w:ascii="sans-serif" w:hAnsi="sans-serif"/>
                <w:b/>
                <w:color w:val="000000"/>
                <w:sz w:val="20"/>
              </w:rPr>
            </w:pPr>
            <w:r>
              <w:rPr>
                <w:rFonts w:ascii="sans-serif" w:hAnsi="sans-serif"/>
                <w:b/>
                <w:color w:val="000000"/>
                <w:sz w:val="20"/>
              </w:rPr>
              <w:t>2024</w:t>
            </w:r>
          </w:p>
        </w:tc>
      </w:tr>
      <w:tr>
        <w:trPr/>
        <w:tc>
          <w:tcPr>
            <w:tcW w:w="2886" w:type="dxa"/>
            <w:tcBorders/>
            <w:tcMar>
              <w:top w:w="0" w:type="dxa"/>
              <w:left w:w="0" w:type="dxa"/>
              <w:bottom w:w="0" w:type="dxa"/>
              <w:right w:w="0" w:type="dxa"/>
            </w:tcMar>
            <w:vAlign w:val="center"/>
          </w:tcPr>
          <w:p>
            <w:pPr>
              <w:pStyle w:val="TableContents"/>
              <w:bidi w:val="0"/>
              <w:spacing w:before="3" w:after="283"/>
              <w:ind w:left="0" w:right="0" w:firstLine="50"/>
              <w:jc w:val="left"/>
              <w:rPr>
                <w:rFonts w:ascii="sans-serif" w:hAnsi="sans-serif"/>
                <w:color w:val="000000"/>
                <w:sz w:val="20"/>
              </w:rPr>
            </w:pPr>
            <w:r>
              <w:rPr>
                <w:rFonts w:ascii="sans-serif" w:hAnsi="sans-serif"/>
                <w:color w:val="000000"/>
                <w:sz w:val="20"/>
              </w:rPr>
              <w:t>Disaggregation of Revenue:</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tcMar>
              <w:top w:w="0" w:type="dxa"/>
              <w:left w:w="0" w:type="dxa"/>
              <w:bottom w:w="0" w:type="dxa"/>
              <w:right w:w="0" w:type="dxa"/>
            </w:tcMar>
            <w:vAlign w:val="center"/>
          </w:tcPr>
          <w:p>
            <w:pPr>
              <w:pStyle w:val="TableContents"/>
              <w:bidi w:val="0"/>
              <w:spacing w:before="0" w:after="283"/>
              <w:ind w:left="0" w:right="0" w:firstLine="162"/>
              <w:jc w:val="left"/>
              <w:rPr/>
            </w:pPr>
            <w:r>
              <w:rPr/>
              <w:t> </w:t>
            </w:r>
          </w:p>
        </w:tc>
      </w:tr>
      <w:tr>
        <w:trPr/>
        <w:tc>
          <w:tcPr>
            <w:tcW w:w="2886" w:type="dxa"/>
            <w:tcBorders/>
            <w:tcMar>
              <w:top w:w="0" w:type="dxa"/>
              <w:left w:w="0" w:type="dxa"/>
              <w:bottom w:w="0" w:type="dxa"/>
              <w:right w:w="0" w:type="dxa"/>
            </w:tcMar>
            <w:vAlign w:val="center"/>
          </w:tcPr>
          <w:p>
            <w:pPr>
              <w:pStyle w:val="TableContents"/>
              <w:bidi w:val="0"/>
              <w:spacing w:before="3" w:after="283"/>
              <w:ind w:left="0" w:right="0" w:firstLine="162"/>
              <w:jc w:val="left"/>
              <w:rPr>
                <w:rFonts w:ascii="sans-serif" w:hAnsi="sans-serif"/>
                <w:color w:val="000000"/>
                <w:sz w:val="20"/>
              </w:rPr>
            </w:pPr>
            <w:r>
              <w:rPr>
                <w:rFonts w:ascii="sans-serif" w:hAnsi="sans-serif"/>
                <w:color w:val="000000"/>
                <w:sz w:val="20"/>
              </w:rPr>
              <w:t>Print and mail</w:t>
            </w:r>
          </w:p>
        </w:tc>
        <w:tc>
          <w:tcPr>
            <w:tcW w:w="1426" w:type="dxa"/>
            <w:tcBorders/>
            <w:tcMar>
              <w:top w:w="0" w:type="dxa"/>
              <w:left w:w="0" w:type="dxa"/>
              <w:bottom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$ 59,442,050</w:t>
            </w:r>
          </w:p>
        </w:tc>
        <w:tc>
          <w:tcPr>
            <w:tcW w:w="1573" w:type="dxa"/>
            <w:tcBorders/>
            <w:tcMar>
              <w:top w:w="0" w:type="dxa"/>
              <w:left w:w="0" w:type="dxa"/>
              <w:bottom w:w="0" w:type="dxa"/>
              <w:right w:w="0" w:type="dxa"/>
            </w:tcMar>
            <w:vAlign w:val="center"/>
          </w:tcPr>
          <w:p>
            <w:pPr>
              <w:pStyle w:val="TableContents"/>
              <w:bidi w:val="0"/>
              <w:spacing w:before="3" w:after="283"/>
              <w:ind w:left="0" w:right="0" w:firstLine="162"/>
              <w:jc w:val="right"/>
              <w:rPr>
                <w:rFonts w:ascii="sans-serif" w:hAnsi="sans-serif"/>
                <w:color w:val="000000"/>
                <w:sz w:val="20"/>
              </w:rPr>
            </w:pPr>
            <w:r>
              <w:rPr>
                <w:rFonts w:ascii="sans-serif" w:hAnsi="sans-serif"/>
                <w:color w:val="000000"/>
                <w:sz w:val="20"/>
              </w:rPr>
              <w:t>$ 55,990,798</w:t>
            </w:r>
          </w:p>
        </w:tc>
      </w:tr>
      <w:tr>
        <w:trPr/>
        <w:tc>
          <w:tcPr>
            <w:tcW w:w="2886" w:type="dxa"/>
            <w:tcBorders/>
            <w:tcMar>
              <w:top w:w="0" w:type="dxa"/>
              <w:left w:w="0" w:type="dxa"/>
              <w:bottom w:w="0" w:type="dxa"/>
              <w:right w:w="0" w:type="dxa"/>
            </w:tcMar>
            <w:vAlign w:val="center"/>
          </w:tcPr>
          <w:p>
            <w:pPr>
              <w:pStyle w:val="TableContents"/>
              <w:bidi w:val="0"/>
              <w:spacing w:before="3" w:after="283"/>
              <w:ind w:left="0" w:right="0" w:firstLine="162"/>
              <w:jc w:val="left"/>
              <w:rPr>
                <w:rFonts w:ascii="sans-serif" w:hAnsi="sans-serif"/>
                <w:color w:val="000000"/>
                <w:sz w:val="20"/>
              </w:rPr>
            </w:pPr>
            <w:r>
              <w:rPr>
                <w:rFonts w:ascii="sans-serif" w:hAnsi="sans-serif"/>
                <w:color w:val="000000"/>
                <w:sz w:val="20"/>
              </w:rPr>
              <w:t>Subscription payments</w:t>
            </w:r>
          </w:p>
        </w:tc>
        <w:tc>
          <w:tcPr>
            <w:tcW w:w="1426" w:type="dxa"/>
            <w:tcBorders/>
            <w:tcMar>
              <w:top w:w="0" w:type="dxa"/>
              <w:left w:w="0" w:type="dxa"/>
              <w:bottom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30,080,023</w:t>
            </w:r>
          </w:p>
        </w:tc>
        <w:tc>
          <w:tcPr>
            <w:tcW w:w="1573" w:type="dxa"/>
            <w:tcBorders/>
            <w:tcMar>
              <w:top w:w="0" w:type="dxa"/>
              <w:left w:w="0" w:type="dxa"/>
              <w:bottom w:w="0" w:type="dxa"/>
              <w:right w:w="0" w:type="dxa"/>
            </w:tcMar>
            <w:vAlign w:val="center"/>
          </w:tcPr>
          <w:p>
            <w:pPr>
              <w:pStyle w:val="TableContents"/>
              <w:bidi w:val="0"/>
              <w:spacing w:before="3" w:after="283"/>
              <w:ind w:left="0" w:right="0" w:firstLine="162"/>
              <w:jc w:val="right"/>
              <w:rPr>
                <w:rFonts w:ascii="sans-serif" w:hAnsi="sans-serif"/>
                <w:color w:val="000000"/>
                <w:sz w:val="20"/>
              </w:rPr>
            </w:pPr>
            <w:r>
              <w:rPr>
                <w:rFonts w:ascii="sans-serif" w:hAnsi="sans-serif"/>
                <w:color w:val="000000"/>
                <w:sz w:val="20"/>
              </w:rPr>
              <w:t>30,589,938</w:t>
            </w:r>
          </w:p>
        </w:tc>
      </w:tr>
      <w:tr>
        <w:trPr/>
        <w:tc>
          <w:tcPr>
            <w:tcW w:w="2886" w:type="dxa"/>
            <w:tcBorders/>
            <w:tcMar>
              <w:top w:w="0" w:type="dxa"/>
              <w:left w:w="0" w:type="dxa"/>
              <w:bottom w:w="0" w:type="dxa"/>
              <w:right w:w="0" w:type="dxa"/>
            </w:tcMar>
            <w:vAlign w:val="center"/>
          </w:tcPr>
          <w:p>
            <w:pPr>
              <w:pStyle w:val="TableContents"/>
              <w:bidi w:val="0"/>
              <w:spacing w:before="3" w:after="283"/>
              <w:ind w:left="0" w:right="0" w:firstLine="162"/>
              <w:jc w:val="left"/>
              <w:rPr>
                <w:rFonts w:ascii="sans-serif" w:hAnsi="sans-serif"/>
                <w:color w:val="000000"/>
                <w:sz w:val="20"/>
              </w:rPr>
            </w:pPr>
            <w:r>
              <w:rPr>
                <w:rFonts w:ascii="sans-serif" w:hAnsi="sans-serif"/>
                <w:color w:val="000000"/>
                <w:sz w:val="20"/>
              </w:rPr>
              <w:t>EZ Pay</w:t>
            </w:r>
          </w:p>
        </w:tc>
        <w:tc>
          <w:tcPr>
            <w:tcW w:w="1426" w:type="dxa"/>
            <w:tcBorders/>
            <w:tcMar>
              <w:top w:w="0" w:type="dxa"/>
              <w:left w:w="0" w:type="dxa"/>
              <w:bottom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121,004,443</w:t>
            </w:r>
          </w:p>
        </w:tc>
        <w:tc>
          <w:tcPr>
            <w:tcW w:w="1573" w:type="dxa"/>
            <w:tcBorders/>
            <w:tcMar>
              <w:top w:w="0" w:type="dxa"/>
              <w:left w:w="0" w:type="dxa"/>
              <w:bottom w:w="0" w:type="dxa"/>
              <w:right w:w="0" w:type="dxa"/>
            </w:tcMar>
            <w:vAlign w:val="center"/>
          </w:tcPr>
          <w:p>
            <w:pPr>
              <w:pStyle w:val="TableContents"/>
              <w:bidi w:val="0"/>
              <w:spacing w:before="3" w:after="283"/>
              <w:ind w:left="0" w:right="0" w:firstLine="162"/>
              <w:jc w:val="right"/>
              <w:rPr>
                <w:rFonts w:ascii="sans-serif" w:hAnsi="sans-serif"/>
                <w:color w:val="000000"/>
                <w:sz w:val="20"/>
              </w:rPr>
            </w:pPr>
            <w:r>
              <w:rPr>
                <w:rFonts w:ascii="sans-serif" w:hAnsi="sans-serif"/>
                <w:color w:val="000000"/>
                <w:sz w:val="20"/>
              </w:rPr>
              <w:t>109,931,064</w:t>
            </w:r>
          </w:p>
        </w:tc>
      </w:tr>
      <w:tr>
        <w:trPr/>
        <w:tc>
          <w:tcPr>
            <w:tcW w:w="2886" w:type="dxa"/>
            <w:tcBorders/>
            <w:tcMar>
              <w:top w:w="0" w:type="dxa"/>
              <w:left w:w="0" w:type="dxa"/>
              <w:bottom w:w="0" w:type="dxa"/>
              <w:right w:w="0" w:type="dxa"/>
            </w:tcMar>
            <w:vAlign w:val="center"/>
          </w:tcPr>
          <w:p>
            <w:pPr>
              <w:pStyle w:val="TableContents"/>
              <w:bidi w:val="0"/>
              <w:spacing w:before="3" w:after="283"/>
              <w:ind w:left="0" w:right="0" w:firstLine="162"/>
              <w:jc w:val="left"/>
              <w:rPr>
                <w:rFonts w:ascii="sans-serif" w:hAnsi="sans-serif"/>
                <w:color w:val="000000"/>
                <w:sz w:val="20"/>
              </w:rPr>
            </w:pPr>
            <w:r>
              <w:rPr>
                <w:rFonts w:ascii="sans-serif" w:hAnsi="sans-serif"/>
                <w:color w:val="000000"/>
                <w:sz w:val="20"/>
              </w:rPr>
              <w:t>Recurring revenue</w:t>
            </w:r>
          </w:p>
        </w:tc>
        <w:tc>
          <w:tcPr>
            <w:tcW w:w="1426" w:type="dxa"/>
            <w:tcBorders/>
            <w:tcMar>
              <w:top w:w="0" w:type="dxa"/>
              <w:left w:w="0" w:type="dxa"/>
              <w:bottom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18,624,243</w:t>
            </w:r>
          </w:p>
        </w:tc>
        <w:tc>
          <w:tcPr>
            <w:tcW w:w="1573" w:type="dxa"/>
            <w:tcBorders/>
            <w:tcMar>
              <w:top w:w="0" w:type="dxa"/>
              <w:left w:w="0" w:type="dxa"/>
              <w:bottom w:w="0" w:type="dxa"/>
              <w:right w:w="0" w:type="dxa"/>
            </w:tcMar>
            <w:vAlign w:val="center"/>
          </w:tcPr>
          <w:p>
            <w:pPr>
              <w:pStyle w:val="TableContents"/>
              <w:bidi w:val="0"/>
              <w:spacing w:before="3" w:after="283"/>
              <w:ind w:left="0" w:right="0" w:firstLine="162"/>
              <w:jc w:val="right"/>
              <w:rPr>
                <w:rFonts w:ascii="sans-serif" w:hAnsi="sans-serif"/>
                <w:color w:val="000000"/>
                <w:sz w:val="20"/>
              </w:rPr>
            </w:pPr>
            <w:r>
              <w:rPr>
                <w:rFonts w:ascii="sans-serif" w:hAnsi="sans-serif"/>
                <w:color w:val="000000"/>
                <w:sz w:val="20"/>
              </w:rPr>
              <w:t>17,782,604</w:t>
            </w:r>
          </w:p>
        </w:tc>
      </w:tr>
      <w:tr>
        <w:trPr/>
        <w:tc>
          <w:tcPr>
            <w:tcW w:w="2886" w:type="dxa"/>
            <w:tcBorders/>
            <w:tcMar>
              <w:top w:w="0" w:type="dxa"/>
              <w:left w:w="0" w:type="dxa"/>
              <w:bottom w:w="0" w:type="dxa"/>
              <w:right w:w="0" w:type="dxa"/>
            </w:tcMar>
            <w:vAlign w:val="center"/>
          </w:tcPr>
          <w:p>
            <w:pPr>
              <w:pStyle w:val="TableContents"/>
              <w:bidi w:val="0"/>
              <w:spacing w:before="3" w:after="283"/>
              <w:ind w:left="0" w:right="0" w:firstLine="162"/>
              <w:jc w:val="left"/>
              <w:rPr>
                <w:rFonts w:ascii="sans-serif" w:hAnsi="sans-serif"/>
                <w:color w:val="000000"/>
                <w:sz w:val="20"/>
              </w:rPr>
            </w:pPr>
            <w:r>
              <w:rPr>
                <w:rFonts w:ascii="sans-serif" w:hAnsi="sans-serif"/>
                <w:color w:val="000000"/>
                <w:sz w:val="20"/>
              </w:rPr>
              <w:t>Professional services</w:t>
            </w:r>
          </w:p>
        </w:tc>
        <w:tc>
          <w:tcPr>
            <w:tcW w:w="1426" w:type="dxa"/>
            <w:tcBorders>
              <w:bottom w:val="single" w:sz="2" w:space="0" w:color="000000"/>
            </w:tcBorders>
            <w:tcMar>
              <w:top w:w="0" w:type="dxa"/>
              <w:left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17,473,071</w:t>
            </w:r>
          </w:p>
        </w:tc>
        <w:tc>
          <w:tcPr>
            <w:tcW w:w="1573" w:type="dxa"/>
            <w:tcBorders>
              <w:bottom w:val="single" w:sz="2" w:space="0" w:color="000000"/>
            </w:tcBorders>
            <w:tcMar>
              <w:top w:w="0" w:type="dxa"/>
              <w:left w:w="0" w:type="dxa"/>
              <w:right w:w="0" w:type="dxa"/>
            </w:tcMar>
            <w:vAlign w:val="center"/>
          </w:tcPr>
          <w:p>
            <w:pPr>
              <w:pStyle w:val="TableContents"/>
              <w:bidi w:val="0"/>
              <w:spacing w:before="3" w:after="283"/>
              <w:ind w:left="0" w:right="0" w:firstLine="50"/>
              <w:jc w:val="right"/>
              <w:rPr>
                <w:rFonts w:ascii="sans-serif" w:hAnsi="sans-serif"/>
                <w:color w:val="000000"/>
                <w:sz w:val="20"/>
              </w:rPr>
            </w:pPr>
            <w:r>
              <w:rPr>
                <w:rFonts w:ascii="sans-serif" w:hAnsi="sans-serif"/>
                <w:color w:val="000000"/>
                <w:sz w:val="20"/>
              </w:rPr>
              <w:t>21,061,910</w:t>
            </w:r>
          </w:p>
        </w:tc>
      </w:tr>
      <w:tr>
        <w:trPr/>
        <w:tc>
          <w:tcPr>
            <w:tcW w:w="2886" w:type="dxa"/>
            <w:tcBorders/>
            <w:tcMar>
              <w:top w:w="0" w:type="dxa"/>
              <w:left w:w="0" w:type="dxa"/>
              <w:bottom w:w="0" w:type="dxa"/>
              <w:right w:w="0" w:type="dxa"/>
            </w:tcMar>
            <w:vAlign w:val="center"/>
          </w:tcPr>
          <w:p>
            <w:pPr>
              <w:pStyle w:val="TableContents"/>
              <w:bidi w:val="0"/>
              <w:spacing w:before="1" w:after="283"/>
              <w:ind w:left="0" w:right="0" w:firstLine="50"/>
              <w:jc w:val="left"/>
              <w:rPr>
                <w:rFonts w:ascii="sans-serif" w:hAnsi="sans-serif"/>
                <w:color w:val="000000"/>
                <w:sz w:val="20"/>
              </w:rPr>
            </w:pPr>
            <w:r>
              <w:rPr>
                <w:rFonts w:ascii="sans-serif" w:hAnsi="sans-serif"/>
                <w:color w:val="000000"/>
                <w:sz w:val="20"/>
              </w:rPr>
              <w:t>Total Revenue</w:t>
            </w:r>
          </w:p>
        </w:tc>
        <w:tc>
          <w:tcPr>
            <w:tcW w:w="1426" w:type="dxa"/>
            <w:tcBorders>
              <w:bottom w:val="double" w:sz="4" w:space="0" w:color="000000"/>
            </w:tcBorders>
            <w:tcMar>
              <w:top w:w="0" w:type="dxa"/>
              <w:left w:w="0" w:type="dxa"/>
              <w:right w:w="0" w:type="dxa"/>
            </w:tcMar>
            <w:vAlign w:val="center"/>
          </w:tcPr>
          <w:p>
            <w:pPr>
              <w:pStyle w:val="TableContents"/>
              <w:bidi w:val="0"/>
              <w:spacing w:before="1" w:after="283"/>
              <w:jc w:val="right"/>
              <w:rPr>
                <w:rFonts w:ascii="sans-serif" w:hAnsi="sans-serif"/>
                <w:color w:val="000000"/>
                <w:sz w:val="20"/>
              </w:rPr>
            </w:pPr>
            <w:r>
              <w:rPr>
                <w:rFonts w:ascii="sans-serif" w:hAnsi="sans-serif"/>
                <w:color w:val="000000"/>
                <w:sz w:val="20"/>
              </w:rPr>
              <w:t>$246,623,830</w:t>
            </w:r>
          </w:p>
        </w:tc>
        <w:tc>
          <w:tcPr>
            <w:tcW w:w="1573" w:type="dxa"/>
            <w:tcBorders>
              <w:bottom w:val="double" w:sz="4" w:space="0" w:color="000000"/>
            </w:tcBorders>
            <w:tcMar>
              <w:top w:w="0" w:type="dxa"/>
              <w:left w:w="0" w:type="dxa"/>
              <w:right w:w="0" w:type="dxa"/>
            </w:tcMar>
            <w:vAlign w:val="center"/>
          </w:tcPr>
          <w:p>
            <w:pPr>
              <w:pStyle w:val="TableContents"/>
              <w:bidi w:val="0"/>
              <w:spacing w:before="1" w:after="283"/>
              <w:jc w:val="right"/>
              <w:rPr>
                <w:rFonts w:ascii="sans-serif" w:hAnsi="sans-serif"/>
                <w:color w:val="000000"/>
                <w:sz w:val="20"/>
              </w:rPr>
            </w:pPr>
            <w:r>
              <w:rPr>
                <w:rFonts w:ascii="sans-serif" w:hAnsi="sans-serif"/>
                <w:color w:val="000000"/>
                <w:sz w:val="20"/>
              </w:rPr>
              <w:t>$235,356,314</w:t>
            </w:r>
          </w:p>
        </w:tc>
      </w:tr>
    </w:tbl>
    <w:p>
      <w:pPr>
        <w:pStyle w:val="TextBody"/>
        <w:bidi w:val="0"/>
        <w:spacing w:before="130" w:after="283"/>
        <w:jc w:val="both"/>
        <w:rPr>
          <w:rFonts w:ascii="sans-serif" w:hAnsi="sans-serif"/>
          <w:b/>
          <w:color w:val="000000"/>
          <w:sz w:val="20"/>
        </w:rPr>
      </w:pPr>
      <w:r>
        <w:rPr>
          <w:rFonts w:ascii="sans-serif" w:hAnsi="sans-serif"/>
          <w:b/>
          <w:color w:val="000000"/>
          <w:sz w:val="20"/>
        </w:rPr>
        <w:t>Cost of Revenue:</w:t>
      </w:r>
    </w:p>
    <w:p>
      <w:pPr>
        <w:pStyle w:val="TextBody"/>
        <w:bidi w:val="0"/>
        <w:spacing w:before="120" w:after="283"/>
        <w:jc w:val="both"/>
        <w:rPr>
          <w:rFonts w:ascii="sans-serif" w:hAnsi="sans-serif"/>
          <w:color w:val="000000"/>
          <w:sz w:val="20"/>
        </w:rPr>
      </w:pPr>
      <w:r>
        <w:rPr>
          <w:rFonts w:ascii="sans-serif" w:hAnsi="sans-serif"/>
          <w:color w:val="000000"/>
          <w:sz w:val="20"/>
        </w:rPr>
        <w:t>Cost of sales consists primarily of payment processing fees, paper, postage and mailing costs, third-party communication and delivery charges, direct production and fulfillment costs, and other costs directly attributable to providing services to customers. Cost of sales also includes certain subcontractor and third-party costs incurred in fulfilling customer contracts. Personnel costs, hosting and infrastructure costs, and other indirect operating expenses are generally classified as operating expenses.</w:t>
      </w:r>
    </w:p>
    <w:p>
      <w:pPr>
        <w:pStyle w:val="TextBody"/>
        <w:bidi w:val="0"/>
        <w:jc w:val="both"/>
        <w:rPr>
          <w:rFonts w:ascii="Times New Roman" w:hAnsi="Times New Roman"/>
          <w:sz w:val="20"/>
        </w:rPr>
      </w:pPr>
      <w:r>
        <w:rPr>
          <w:rFonts w:ascii="sans-serif" w:hAnsi="sans-serif"/>
          <w:b/>
          <w:color w:val="000000"/>
          <w:sz w:val="20"/>
        </w:rPr>
        <w:t>Research and Development</w:t>
      </w:r>
      <w:r>
        <w:rPr>
          <w:rFonts w:ascii="sans-serif" w:hAnsi="sans-serif"/>
          <w:color w:val="000000"/>
          <w:sz w:val="20"/>
        </w:rPr>
        <w:t>:</w:t>
      </w:r>
    </w:p>
    <w:p>
      <w:pPr>
        <w:pStyle w:val="TextBody"/>
        <w:bidi w:val="0"/>
        <w:spacing w:before="121" w:after="283"/>
        <w:jc w:val="both"/>
        <w:rPr>
          <w:rFonts w:ascii="sans-serif" w:hAnsi="sans-serif"/>
          <w:color w:val="000000"/>
          <w:sz w:val="20"/>
        </w:rPr>
      </w:pPr>
      <w:r>
        <w:rPr>
          <w:rFonts w:ascii="sans-serif" w:hAnsi="sans-serif"/>
          <w:color w:val="000000"/>
          <w:sz w:val="20"/>
        </w:rPr>
        <w:t>Research and development costs that do not meet the criteria for capitalization are expensed as incurred. Research and development expenses include compensation and employee benefits for technology developers and product management employees, as well as fees paid to outside consultants and all software tools costs.</w:t>
      </w:r>
    </w:p>
    <w:p>
      <w:pPr>
        <w:pStyle w:val="TextBody"/>
        <w:bidi w:val="0"/>
        <w:spacing w:before="119" w:after="283"/>
        <w:jc w:val="both"/>
        <w:rPr>
          <w:rFonts w:ascii="Times New Roman" w:hAnsi="Times New Roman"/>
          <w:sz w:val="20"/>
        </w:rPr>
      </w:pPr>
      <w:r>
        <w:rPr>
          <w:rFonts w:ascii="sans-serif" w:hAnsi="sans-serif"/>
          <w:b/>
          <w:color w:val="000000"/>
          <w:sz w:val="20"/>
        </w:rPr>
        <w:t>Sales and Marketing</w:t>
      </w:r>
      <w:r>
        <w:rPr>
          <w:rFonts w:ascii="sans-serif" w:hAnsi="sans-serif"/>
          <w:color w:val="000000"/>
          <w:sz w:val="20"/>
        </w:rPr>
        <w:t>:</w:t>
      </w:r>
    </w:p>
    <w:p>
      <w:pPr>
        <w:pStyle w:val="TextBody"/>
        <w:bidi w:val="0"/>
        <w:spacing w:before="121" w:after="283"/>
        <w:jc w:val="both"/>
        <w:rPr>
          <w:rFonts w:ascii="sans-serif" w:hAnsi="sans-serif"/>
          <w:color w:val="000000"/>
          <w:sz w:val="20"/>
        </w:rPr>
      </w:pPr>
      <w:r>
        <w:rPr>
          <w:rFonts w:ascii="sans-serif" w:hAnsi="sans-serif"/>
          <w:color w:val="000000"/>
          <w:sz w:val="20"/>
        </w:rPr>
        <w:t>Sales and marketing expenses consist of compensation and employee benefits of sales and marketing employees, as well as commissions, travel, trade show sponsorships and events, conferences, and Internet advertising costs. Costs associated with the Company’s advertising are expensed as incurred and are included in sales and marketing expenses. Advertising expenses were $1,195,994 and $1,257,460 for the years ended December 31, 2025 and 2024, respectively.</w:t>
      </w:r>
    </w:p>
    <w:p>
      <w:pPr>
        <w:pStyle w:val="TextBody"/>
        <w:bidi w:val="0"/>
        <w:spacing w:before="120" w:after="283"/>
        <w:jc w:val="both"/>
        <w:rPr>
          <w:rFonts w:ascii="Times New Roman" w:hAnsi="Times New Roman"/>
          <w:sz w:val="20"/>
        </w:rPr>
      </w:pPr>
      <w:r>
        <w:rPr>
          <w:rFonts w:ascii="sans-serif" w:hAnsi="sans-serif"/>
          <w:b/>
          <w:color w:val="000000"/>
          <w:sz w:val="20"/>
        </w:rPr>
        <w:t>General and Administrative</w:t>
      </w:r>
      <w:r>
        <w:rPr>
          <w:rFonts w:ascii="sans-serif" w:hAnsi="sans-serif"/>
          <w:color w:val="000000"/>
          <w:sz w:val="20"/>
        </w:rPr>
        <w:t>:</w:t>
      </w:r>
    </w:p>
    <w:p>
      <w:pPr>
        <w:pStyle w:val="TextBody"/>
        <w:bidi w:val="0"/>
        <w:spacing w:before="41" w:after="283"/>
        <w:jc w:val="both"/>
        <w:rPr>
          <w:rFonts w:ascii="sans-serif" w:hAnsi="sans-serif"/>
          <w:color w:val="000000"/>
          <w:sz w:val="20"/>
        </w:rPr>
      </w:pPr>
      <w:r>
        <w:rPr>
          <w:rFonts w:ascii="sans-serif" w:hAnsi="sans-serif"/>
          <w:color w:val="000000"/>
          <w:sz w:val="20"/>
        </w:rPr>
        <w:t>General and administrative expenses include compensation, employee benefits, and stock-based compensation for executive management, finance administration and human resources, facility costs (including rent), bad debt costs, professional service fees, and other general overhead costs, including amortization and depreciation, to support the Company’s operations.</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19" w:after="283"/>
        <w:jc w:val="both"/>
        <w:rPr>
          <w:rFonts w:ascii="Times New Roman" w:hAnsi="Times New Roman"/>
          <w:sz w:val="20"/>
        </w:rPr>
      </w:pPr>
      <w:r>
        <w:rPr>
          <w:rFonts w:ascii="sans-serif" w:hAnsi="sans-serif"/>
          <w:b/>
          <w:color w:val="000000"/>
          <w:sz w:val="20"/>
        </w:rPr>
        <w:t>Software Development Costs</w:t>
      </w:r>
      <w:r>
        <w:rPr>
          <w:rFonts w:ascii="sans-serif" w:hAnsi="sans-serif"/>
          <w:color w:val="000000"/>
          <w:sz w:val="20"/>
        </w:rPr>
        <w:t>:</w:t>
      </w:r>
    </w:p>
    <w:p>
      <w:pPr>
        <w:pStyle w:val="TextBody"/>
        <w:bidi w:val="0"/>
        <w:spacing w:before="121" w:after="283"/>
        <w:jc w:val="both"/>
        <w:rPr>
          <w:rFonts w:ascii="sans-serif" w:hAnsi="sans-serif"/>
          <w:color w:val="000000"/>
          <w:sz w:val="20"/>
        </w:rPr>
      </w:pPr>
      <w:r>
        <w:rPr>
          <w:rFonts w:ascii="sans-serif" w:hAnsi="sans-serif"/>
          <w:color w:val="000000"/>
          <w:sz w:val="20"/>
        </w:rPr>
        <w:t>The Company capitalizes certain costs incurred in connection with the development of software for internal use. Capitalized costs primarily relate to software platforms that support the Company's hosted solutions and service offerings. Costs incurred during the preliminary project stage and post-implementation operation stage are expensed as incurred. Once a project reaches the application development stage, direct and incremental internal and external costs associated with software development are capitalized until the software is substantially complete and ready for its intended use. Capitalization ceases upon completion of all substantial testing. Maintenance and support costs are expensed as incurred.</w:t>
      </w:r>
    </w:p>
    <w:p>
      <w:pPr>
        <w:pStyle w:val="TextBody"/>
        <w:bidi w:val="0"/>
        <w:spacing w:before="120" w:after="283"/>
        <w:jc w:val="both"/>
        <w:rPr>
          <w:rFonts w:ascii="sans-serif" w:hAnsi="sans-serif"/>
          <w:color w:val="000000"/>
          <w:sz w:val="20"/>
        </w:rPr>
      </w:pPr>
      <w:r>
        <w:rPr>
          <w:rFonts w:ascii="sans-serif" w:hAnsi="sans-serif"/>
          <w:color w:val="000000"/>
          <w:sz w:val="20"/>
        </w:rPr>
        <w:t>Capitalized software development costs are amortized using the straight-line method over their estimated useful lives, generally five years. Amortization expense is included in depreciation and amortization expense in the accompanying combined and consolidated statements of operations. There were no impairments recorded during the years ended December 31, 2025 and 2024.</w:t>
      </w:r>
    </w:p>
    <w:p>
      <w:pPr>
        <w:pStyle w:val="TextBody"/>
        <w:bidi w:val="0"/>
        <w:spacing w:before="120" w:after="283"/>
        <w:jc w:val="left"/>
        <w:rPr>
          <w:rFonts w:ascii="sans-serif" w:hAnsi="sans-serif"/>
          <w:b/>
          <w:color w:val="000000"/>
          <w:sz w:val="20"/>
        </w:rPr>
      </w:pPr>
      <w:r>
        <w:rPr>
          <w:rFonts w:ascii="sans-serif" w:hAnsi="sans-serif"/>
          <w:b/>
          <w:color w:val="000000"/>
          <w:sz w:val="20"/>
        </w:rPr>
        <w:t>Leases:</w:t>
      </w:r>
    </w:p>
    <w:p>
      <w:pPr>
        <w:pStyle w:val="TextBody"/>
        <w:bidi w:val="0"/>
        <w:spacing w:before="121" w:after="283"/>
        <w:jc w:val="both"/>
        <w:rPr>
          <w:rFonts w:ascii="sans-serif" w:hAnsi="sans-serif"/>
          <w:color w:val="000000"/>
          <w:sz w:val="20"/>
        </w:rPr>
      </w:pPr>
      <w:r>
        <w:rPr>
          <w:rFonts w:ascii="sans-serif" w:hAnsi="sans-serif"/>
          <w:color w:val="000000"/>
          <w:sz w:val="20"/>
        </w:rPr>
        <w:t>The Company determines whether an arrangement is or contains a lease at contract inception. Operating lease right-of-use ("ROU") assets, finance lease right-of-use assets, operating lease liabilities, and finance lease liabilities are recognized at the commencement date based on the present value of future lease payments over the lease term. Lease liabilities are measured using the rate implicit in the lease when readily determinable; otherwise, the Company uses its incremental borrowing rate.</w:t>
      </w:r>
    </w:p>
    <w:p>
      <w:pPr>
        <w:pStyle w:val="TextBody"/>
        <w:bidi w:val="0"/>
        <w:spacing w:before="118" w:after="283"/>
        <w:jc w:val="both"/>
        <w:rPr>
          <w:rFonts w:ascii="sans-serif" w:hAnsi="sans-serif"/>
          <w:color w:val="000000"/>
          <w:sz w:val="20"/>
        </w:rPr>
      </w:pPr>
      <w:r>
        <w:rPr>
          <w:rFonts w:ascii="sans-serif" w:hAnsi="sans-serif"/>
          <w:color w:val="000000"/>
          <w:sz w:val="20"/>
        </w:rPr>
        <w:t>ROU assets are adjusted for lease incentives, prepaid rent, and initial direct costs. Operating lease expense is recognized on a straight-line basis over the lease term and is included in operating expenses in the accompanying combined and consolidated statements of operations. Finance lease assets are amortized over the shorter of the lease term or the useful life of the underlying asset, and interest on finance lease liabilities is recognized using the effective interest method.</w:t>
      </w:r>
    </w:p>
    <w:p>
      <w:pPr>
        <w:pStyle w:val="TextBody"/>
        <w:bidi w:val="0"/>
        <w:spacing w:before="121" w:after="283"/>
        <w:jc w:val="both"/>
        <w:rPr>
          <w:rFonts w:ascii="sans-serif" w:hAnsi="sans-serif"/>
          <w:color w:val="000000"/>
          <w:sz w:val="20"/>
        </w:rPr>
      </w:pPr>
      <w:r>
        <w:rPr>
          <w:rFonts w:ascii="sans-serif" w:hAnsi="sans-serif"/>
          <w:color w:val="000000"/>
          <w:sz w:val="20"/>
        </w:rPr>
        <w:t>The Company has elected the practical expedient to not separate lease and non-lease components for all classes of underlying assets and has elected the short-term lease exemption for leases with an initial term of 12 months or less. Renewal options are included in the lease term when it is reasonably certain that such options will be exercised.</w:t>
      </w:r>
    </w:p>
    <w:p>
      <w:pPr>
        <w:pStyle w:val="TextBody"/>
        <w:bidi w:val="0"/>
        <w:spacing w:before="120" w:after="283"/>
        <w:jc w:val="both"/>
        <w:rPr>
          <w:rFonts w:ascii="sans-serif" w:hAnsi="sans-serif"/>
          <w:color w:val="000000"/>
          <w:sz w:val="20"/>
        </w:rPr>
      </w:pPr>
      <w:r>
        <w:rPr>
          <w:rFonts w:ascii="sans-serif" w:hAnsi="sans-serif"/>
          <w:color w:val="000000"/>
          <w:sz w:val="20"/>
        </w:rPr>
        <w:t>The Company's leases primarily consist of office facilities and equipment leases. Additional disclosures related to the Company's leases are included in Note 6.</w:t>
      </w:r>
    </w:p>
    <w:p>
      <w:pPr>
        <w:pStyle w:val="TextBody"/>
        <w:bidi w:val="0"/>
        <w:spacing w:before="118" w:after="283"/>
        <w:jc w:val="both"/>
        <w:rPr>
          <w:rFonts w:ascii="sans-serif" w:hAnsi="sans-serif"/>
          <w:b/>
          <w:color w:val="000000"/>
          <w:sz w:val="20"/>
        </w:rPr>
      </w:pPr>
      <w:r>
        <w:rPr>
          <w:rFonts w:ascii="sans-serif" w:hAnsi="sans-serif"/>
          <w:b/>
          <w:color w:val="000000"/>
          <w:sz w:val="20"/>
        </w:rPr>
        <w:t>Impairment of Long-Lived Assets:</w:t>
      </w:r>
    </w:p>
    <w:p>
      <w:pPr>
        <w:pStyle w:val="TextBody"/>
        <w:bidi w:val="0"/>
        <w:spacing w:before="121" w:after="283"/>
        <w:jc w:val="both"/>
        <w:rPr>
          <w:rFonts w:ascii="Times New Roman" w:hAnsi="Times New Roman"/>
          <w:sz w:val="20"/>
        </w:rPr>
      </w:pPr>
      <w:r>
        <w:rPr>
          <w:rFonts w:ascii="sans-serif" w:hAnsi="sans-serif"/>
          <w:color w:val="000000"/>
          <w:sz w:val="20"/>
        </w:rPr>
        <w:t xml:space="preserve">The Company assesses long-lived assets for impairment in accordance with the provisions of Financial Accounting Standards Board ASC 360, </w:t>
      </w:r>
      <w:r>
        <w:rPr>
          <w:rFonts w:ascii="sans-serif" w:hAnsi="sans-serif"/>
          <w:i/>
          <w:color w:val="000000"/>
          <w:sz w:val="20"/>
        </w:rPr>
        <w:t>Property, Plant, and Equipment. Long-lived assets (asset group)</w:t>
      </w:r>
      <w:r>
        <w:rPr>
          <w:rFonts w:ascii="sans-serif" w:hAnsi="sans-serif"/>
          <w:color w:val="000000"/>
          <w:sz w:val="20"/>
        </w:rPr>
        <w:t>, such as property and equipment and capitalized software development costs subject to amortization, are reviewed for impairment whenever events or changes in circumstances indicate that the carrying amount of the asset may not be recoverable. The carrying amount of a long-lived asset is not recoverable if it exceeds the sum of the undiscounted future cash flows expected to result from the use and eventual disposition of the asset. The amount of impairment loss, if any, is measured as the difference between the carrying value of the asset and its estimated fair value. Fair value is determined through various valuation techniques, including discounted cash flow models, quoted market values, and third-party independent appraisals, as considered necessary. As of December 31, 2025 and 2024, no impairment charge has been recorded.</w:t>
      </w:r>
    </w:p>
    <w:p>
      <w:pPr>
        <w:pStyle w:val="TextBody"/>
        <w:bidi w:val="0"/>
        <w:spacing w:before="120" w:after="283"/>
        <w:jc w:val="both"/>
        <w:rPr>
          <w:rFonts w:ascii="Times New Roman" w:hAnsi="Times New Roman"/>
          <w:sz w:val="20"/>
        </w:rPr>
      </w:pPr>
      <w:r>
        <w:rPr>
          <w:rFonts w:ascii="sans-serif" w:hAnsi="sans-serif"/>
          <w:b/>
          <w:color w:val="000000"/>
          <w:sz w:val="20"/>
        </w:rPr>
        <w:t>Income Taxes</w:t>
      </w:r>
      <w:r>
        <w:rPr>
          <w:rFonts w:ascii="sans-serif" w:hAnsi="sans-serif"/>
          <w:color w:val="000000"/>
          <w:sz w:val="20"/>
        </w:rPr>
        <w:t>:</w:t>
      </w:r>
    </w:p>
    <w:p>
      <w:pPr>
        <w:pStyle w:val="TextBody"/>
        <w:bidi w:val="0"/>
        <w:spacing w:before="120" w:after="283"/>
        <w:jc w:val="both"/>
        <w:rPr>
          <w:rFonts w:ascii="sans-serif" w:hAnsi="sans-serif"/>
          <w:color w:val="000000"/>
          <w:sz w:val="20"/>
        </w:rPr>
      </w:pPr>
      <w:r>
        <w:rPr>
          <w:rFonts w:ascii="sans-serif" w:hAnsi="sans-serif"/>
          <w:color w:val="000000"/>
          <w:sz w:val="20"/>
        </w:rPr>
        <w:t>Income taxes are accounted for in accordance with ASC 740, which requires that deferred taxes are based on differences between financial reporting and the tax bases of assets and liabilities and are measured using enacted tax laws and rates in effect in the years in which the differences are expected to reverse. A valuation allowance is provided on deferred tax assets if it is determined that it is more likely than not that the asset will not be realized (Note 9). The Company accounts for uncertain tax positions in accordance with guidance prescribing a minimum threshold for recognition of tax benefits on the consolidated financial statements.</w:t>
      </w:r>
    </w:p>
    <w:p>
      <w:pPr>
        <w:pStyle w:val="TextBody"/>
        <w:bidi w:val="0"/>
        <w:spacing w:before="41" w:after="283"/>
        <w:jc w:val="left"/>
        <w:rPr>
          <w:rFonts w:ascii="Times New Roman" w:hAnsi="Times New Roman"/>
          <w:sz w:val="20"/>
        </w:rPr>
      </w:pPr>
      <w:r>
        <w:rPr>
          <w:rFonts w:ascii="sans-serif" w:hAnsi="sans-serif"/>
          <w:b/>
          <w:color w:val="000000"/>
          <w:sz w:val="20"/>
        </w:rPr>
        <w:t>Fair Value of Financial Instruments</w:t>
      </w:r>
      <w:r>
        <w:rPr>
          <w:rFonts w:ascii="sans-serif" w:hAnsi="sans-serif"/>
          <w:color w:val="000000"/>
          <w:sz w:val="20"/>
        </w:rPr>
        <w:t>:</w:t>
      </w:r>
    </w:p>
    <w:p>
      <w:pPr>
        <w:pStyle w:val="TextBody"/>
        <w:bidi w:val="0"/>
        <w:spacing w:before="119" w:after="283"/>
        <w:jc w:val="left"/>
        <w:rPr>
          <w:rFonts w:ascii="sans-serif" w:hAnsi="sans-serif"/>
          <w:color w:val="000000"/>
          <w:sz w:val="20"/>
        </w:rPr>
      </w:pPr>
      <w:r>
        <w:rPr>
          <w:rFonts w:ascii="sans-serif" w:hAnsi="sans-serif"/>
          <w:color w:val="000000"/>
          <w:sz w:val="20"/>
        </w:rPr>
        <w:t>Fair value is defined by ASC 820 as the price that would be received from selling an asset or paid to transfer a liability in an orderly transaction between market participants at the measurement date. ASC 820 establishes a fair value hierarchy whereby the inputs contained in valuation techniques used to measure fair value are categorized into three broad levels as follows:</w:t>
      </w:r>
    </w:p>
    <w:p>
      <w:pPr>
        <w:pStyle w:val="TextBody"/>
        <w:bidi w:val="0"/>
        <w:spacing w:before="120" w:after="283"/>
        <w:jc w:val="left"/>
        <w:rPr>
          <w:rFonts w:ascii="sans-serif" w:hAnsi="sans-serif"/>
          <w:color w:val="000000"/>
          <w:sz w:val="20"/>
        </w:rPr>
      </w:pPr>
      <w:r>
        <w:rPr>
          <w:rFonts w:ascii="sans-serif" w:hAnsi="sans-serif"/>
          <w:color w:val="000000"/>
          <w:sz w:val="20"/>
        </w:rPr>
        <w:t>Level 1 Observable inputs that reflect quoted prices (unadjusted) for identical assets or liabilities in active markets.</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sans-serif" w:hAnsi="sans-serif"/>
          <w:color w:val="000000"/>
          <w:sz w:val="20"/>
        </w:rPr>
      </w:pPr>
      <w:r>
        <w:rPr>
          <w:rFonts w:ascii="sans-serif" w:hAnsi="sans-serif"/>
          <w:color w:val="000000"/>
          <w:sz w:val="20"/>
        </w:rPr>
        <w:t>Level 2 Inputs reflect quoted prices for identical assets or liabilities in markets that are not active; quoted prices for similar assets or liabilities in active markets; inputs other than quoted prices that are observable for the asset or the liability; or inputs that are derived principally from or corroborated by observable market data by correlation or other means.</w:t>
      </w:r>
    </w:p>
    <w:p>
      <w:pPr>
        <w:pStyle w:val="TextBody"/>
        <w:bidi w:val="0"/>
        <w:spacing w:before="121" w:after="283"/>
        <w:jc w:val="left"/>
        <w:rPr>
          <w:rFonts w:ascii="sans-serif" w:hAnsi="sans-serif"/>
          <w:color w:val="000000"/>
          <w:sz w:val="20"/>
        </w:rPr>
      </w:pPr>
      <w:r>
        <w:rPr>
          <w:rFonts w:ascii="sans-serif" w:hAnsi="sans-serif"/>
          <w:color w:val="000000"/>
          <w:sz w:val="20"/>
        </w:rPr>
        <w:t>Level 3 Unobservable inputs reflecting the Corporation’s own assumptions incorporated in valuation techniques used to determine fair value. These assumptions are required to be consistent with market participant assumptions that are reasonably available.</w:t>
      </w:r>
    </w:p>
    <w:p>
      <w:pPr>
        <w:pStyle w:val="TextBody"/>
        <w:bidi w:val="0"/>
        <w:spacing w:before="119" w:after="283"/>
        <w:jc w:val="both"/>
        <w:rPr>
          <w:rFonts w:ascii="sans-serif" w:hAnsi="sans-serif"/>
          <w:color w:val="000000"/>
          <w:sz w:val="20"/>
        </w:rPr>
      </w:pPr>
      <w:r>
        <w:rPr>
          <w:rFonts w:ascii="sans-serif" w:hAnsi="sans-serif"/>
          <w:color w:val="000000"/>
          <w:sz w:val="20"/>
        </w:rPr>
        <w:t>The carrying amounts of cash, accounts receivable, accounts payable, accrued liabilities, and other current assets and liabilities approximate fair value due to the short-term nature of these instruments. The Company did not have any assets or liabilities measured at fair value on a recurring or nonrecurring basis as of or during the years ended December 31, 2025 and 2024.</w:t>
      </w:r>
    </w:p>
    <w:p>
      <w:pPr>
        <w:pStyle w:val="TextBody"/>
        <w:bidi w:val="0"/>
        <w:spacing w:before="120" w:after="283"/>
        <w:jc w:val="both"/>
        <w:rPr>
          <w:rFonts w:ascii="Times New Roman" w:hAnsi="Times New Roman"/>
          <w:sz w:val="20"/>
        </w:rPr>
      </w:pPr>
      <w:r>
        <w:rPr>
          <w:rFonts w:ascii="sans-serif" w:hAnsi="sans-serif"/>
          <w:b/>
          <w:color w:val="000000"/>
          <w:sz w:val="20"/>
        </w:rPr>
        <w:t>Concentrations of Credit Risk</w:t>
      </w:r>
      <w:r>
        <w:rPr>
          <w:rFonts w:ascii="sans-serif" w:hAnsi="sans-serif"/>
          <w:color w:val="000000"/>
          <w:sz w:val="20"/>
        </w:rPr>
        <w:t>:</w:t>
      </w:r>
    </w:p>
    <w:p>
      <w:pPr>
        <w:pStyle w:val="TextBody"/>
        <w:bidi w:val="0"/>
        <w:spacing w:before="121" w:after="283"/>
        <w:jc w:val="both"/>
        <w:rPr>
          <w:rFonts w:ascii="sans-serif" w:hAnsi="sans-serif"/>
          <w:color w:val="000000"/>
          <w:sz w:val="20"/>
        </w:rPr>
      </w:pPr>
      <w:bookmarkStart w:id="9" w:name="x__property_and_equipment"/>
      <w:bookmarkEnd w:id="9"/>
      <w:r>
        <w:rPr>
          <w:rFonts w:ascii="sans-serif" w:hAnsi="sans-serif"/>
          <w:color w:val="000000"/>
          <w:sz w:val="20"/>
        </w:rPr>
        <w:t>Financial instruments that potentially subject the Company to concentration of credit risk consist primarily of cash and cash equivalents and trade accounts receivable. The Company holds its excess cash in checking accounts with one of the major financial institutions.</w:t>
      </w:r>
    </w:p>
    <w:p>
      <w:pPr>
        <w:pStyle w:val="TextBody"/>
        <w:bidi w:val="0"/>
        <w:spacing w:before="120" w:after="283"/>
        <w:jc w:val="left"/>
        <w:rPr>
          <w:rFonts w:ascii="sans-serif" w:hAnsi="sans-serif"/>
          <w:b/>
          <w:color w:val="000000"/>
          <w:sz w:val="20"/>
        </w:rPr>
      </w:pPr>
      <w:r>
        <w:rPr>
          <w:rFonts w:ascii="sans-serif" w:hAnsi="sans-serif"/>
          <w:b/>
          <w:color w:val="000000"/>
          <w:sz w:val="20"/>
        </w:rPr>
        <w:t>3.</w:t>
      </w:r>
    </w:p>
    <w:p>
      <w:pPr>
        <w:pStyle w:val="TextBody"/>
        <w:bidi w:val="0"/>
        <w:spacing w:before="120" w:after="283"/>
        <w:jc w:val="left"/>
        <w:rPr>
          <w:rFonts w:ascii="sans-serif" w:hAnsi="sans-serif"/>
          <w:b/>
          <w:color w:val="000000"/>
          <w:sz w:val="20"/>
        </w:rPr>
      </w:pPr>
      <w:r>
        <w:rPr>
          <w:rFonts w:ascii="sans-serif" w:hAnsi="sans-serif"/>
          <w:b/>
          <w:color w:val="000000"/>
          <w:sz w:val="20"/>
        </w:rPr>
        <w:t>PROPERTY AND EQUIPMENT</w:t>
      </w:r>
    </w:p>
    <w:p>
      <w:pPr>
        <w:pStyle w:val="TextBody"/>
        <w:bidi w:val="0"/>
        <w:spacing w:before="183" w:after="283"/>
        <w:jc w:val="both"/>
        <w:rPr>
          <w:rFonts w:ascii="sans-serif" w:hAnsi="sans-serif"/>
          <w:color w:val="000000"/>
          <w:sz w:val="20"/>
        </w:rPr>
      </w:pPr>
      <w:r>
        <w:rPr>
          <w:rFonts w:ascii="sans-serif" w:hAnsi="sans-serif"/>
          <w:color w:val="000000"/>
          <w:sz w:val="20"/>
        </w:rPr>
        <w:t>Property and equipment as of December 31, 2025 and 2024, are composed of the following:</w:t>
      </w:r>
    </w:p>
    <w:p>
      <w:pPr>
        <w:pStyle w:val="TextBody"/>
        <w:bidi w:val="0"/>
        <w:spacing w:before="4" w:after="283"/>
        <w:jc w:val="left"/>
        <w:rPr/>
      </w:pPr>
      <w:r>
        <w:rPr/>
        <w:t> </w:t>
      </w:r>
    </w:p>
    <w:tbl>
      <w:tblPr>
        <w:tblW w:w="6880" w:type="dxa"/>
        <w:jc w:val="left"/>
        <w:tblInd w:w="0" w:type="dxa"/>
        <w:tblLayout w:type="fixed"/>
        <w:tblCellMar>
          <w:top w:w="28" w:type="dxa"/>
          <w:left w:w="28" w:type="dxa"/>
          <w:bottom w:w="28" w:type="dxa"/>
          <w:right w:w="28" w:type="dxa"/>
        </w:tblCellMar>
      </w:tblPr>
      <w:tblGrid>
        <w:gridCol w:w="3673"/>
        <w:gridCol w:w="1306"/>
        <w:gridCol w:w="148"/>
        <w:gridCol w:w="1753"/>
      </w:tblGrid>
      <w:tr>
        <w:trPr/>
        <w:tc>
          <w:tcPr>
            <w:tcW w:w="367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r>
      <w:tr>
        <w:trPr/>
        <w:tc>
          <w:tcPr>
            <w:tcW w:w="3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8" w:type="dxa"/>
            <w:tcBorders/>
            <w:tcMar>
              <w:top w:w="0" w:type="dxa"/>
              <w:left w:w="0" w:type="dxa"/>
              <w:bottom w:w="0" w:type="dxa"/>
              <w:right w:w="0" w:type="dxa"/>
            </w:tcMar>
            <w:vAlign w:val="center"/>
          </w:tcPr>
          <w:p>
            <w:pPr>
              <w:pStyle w:val="TableContents"/>
              <w:bidi w:val="0"/>
              <w:spacing w:before="0" w:after="283"/>
              <w:ind w:left="0" w:right="0" w:firstLine="2"/>
              <w:jc w:val="left"/>
              <w:rPr/>
            </w:pPr>
            <w:r>
              <w:rPr/>
              <w:t> </w:t>
            </w:r>
          </w:p>
        </w:tc>
        <w:tc>
          <w:tcPr>
            <w:tcW w:w="1753" w:type="dxa"/>
            <w:tcBorders/>
            <w:tcMar>
              <w:top w:w="0" w:type="dxa"/>
              <w:left w:w="0" w:type="dxa"/>
              <w:bottom w:w="0" w:type="dxa"/>
              <w:right w:w="0" w:type="dxa"/>
            </w:tcMar>
            <w:vAlign w:val="center"/>
          </w:tcPr>
          <w:p>
            <w:pPr>
              <w:pStyle w:val="TableContents"/>
              <w:bidi w:val="0"/>
              <w:spacing w:before="0" w:after="283"/>
              <w:ind w:left="0" w:right="0" w:firstLine="83"/>
              <w:jc w:val="center"/>
              <w:rPr>
                <w:rFonts w:ascii="sans-serif" w:hAnsi="sans-serif"/>
                <w:b/>
                <w:color w:val="000000"/>
                <w:sz w:val="20"/>
              </w:rPr>
            </w:pPr>
            <w:r>
              <w:rPr>
                <w:rFonts w:ascii="sans-serif" w:hAnsi="sans-serif"/>
                <w:b/>
                <w:color w:val="000000"/>
                <w:sz w:val="20"/>
              </w:rPr>
              <w:t>2024</w:t>
            </w:r>
          </w:p>
        </w:tc>
      </w:tr>
      <w:tr>
        <w:trPr/>
        <w:tc>
          <w:tcPr>
            <w:tcW w:w="3673" w:type="dxa"/>
            <w:tcBorders/>
            <w:tcMar>
              <w:top w:w="0" w:type="dxa"/>
              <w:left w:w="0" w:type="dxa"/>
              <w:bottom w:w="0" w:type="dxa"/>
              <w:right w:w="0" w:type="dxa"/>
            </w:tcMar>
            <w:vAlign w:val="center"/>
          </w:tcPr>
          <w:p>
            <w:pPr>
              <w:pStyle w:val="TableContents"/>
              <w:bidi w:val="0"/>
              <w:spacing w:before="23" w:after="283"/>
              <w:ind w:left="0" w:right="0" w:firstLine="83"/>
              <w:jc w:val="left"/>
              <w:rPr>
                <w:rFonts w:ascii="sans-serif" w:hAnsi="sans-serif"/>
                <w:color w:val="000000"/>
                <w:sz w:val="20"/>
              </w:rPr>
            </w:pPr>
            <w:r>
              <w:rPr>
                <w:rFonts w:ascii="sans-serif" w:hAnsi="sans-serif"/>
                <w:color w:val="000000"/>
                <w:sz w:val="20"/>
              </w:rPr>
              <w:t>Computer equipment</w:t>
            </w:r>
          </w:p>
        </w:tc>
        <w:tc>
          <w:tcPr>
            <w:tcW w:w="1306" w:type="dxa"/>
            <w:tcBorders/>
            <w:tcMar>
              <w:top w:w="0" w:type="dxa"/>
              <w:left w:w="0" w:type="dxa"/>
              <w:bottom w:w="0" w:type="dxa"/>
              <w:right w:w="0" w:type="dxa"/>
            </w:tcMar>
            <w:vAlign w:val="center"/>
          </w:tcPr>
          <w:p>
            <w:pPr>
              <w:pStyle w:val="TableContents"/>
              <w:bidi w:val="0"/>
              <w:spacing w:before="33" w:after="283"/>
              <w:jc w:val="right"/>
              <w:rPr>
                <w:rFonts w:ascii="sans-serif" w:hAnsi="sans-serif"/>
                <w:color w:val="000000"/>
                <w:sz w:val="20"/>
              </w:rPr>
            </w:pPr>
            <w:r>
              <w:rPr>
                <w:rFonts w:ascii="sans-serif" w:hAnsi="sans-serif"/>
                <w:color w:val="000000"/>
                <w:sz w:val="20"/>
              </w:rPr>
              <w:t>$12,094,019</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33" w:after="283"/>
              <w:ind w:left="0" w:right="0" w:firstLine="83"/>
              <w:jc w:val="right"/>
              <w:rPr>
                <w:rFonts w:ascii="sans-serif" w:hAnsi="sans-serif"/>
                <w:color w:val="000000"/>
                <w:sz w:val="20"/>
              </w:rPr>
            </w:pPr>
            <w:r>
              <w:rPr>
                <w:rFonts w:ascii="sans-serif" w:hAnsi="sans-serif"/>
                <w:color w:val="000000"/>
                <w:sz w:val="20"/>
              </w:rPr>
              <w:t>$13,477,772</w:t>
            </w:r>
          </w:p>
        </w:tc>
      </w:tr>
      <w:tr>
        <w:trPr/>
        <w:tc>
          <w:tcPr>
            <w:tcW w:w="3673" w:type="dxa"/>
            <w:tcBorders/>
            <w:tcMar>
              <w:top w:w="0" w:type="dxa"/>
              <w:left w:w="0" w:type="dxa"/>
              <w:bottom w:w="0" w:type="dxa"/>
              <w:right w:w="0" w:type="dxa"/>
            </w:tcMar>
            <w:vAlign w:val="center"/>
          </w:tcPr>
          <w:p>
            <w:pPr>
              <w:pStyle w:val="TableContents"/>
              <w:bidi w:val="0"/>
              <w:spacing w:before="29" w:after="283"/>
              <w:ind w:left="0" w:right="0" w:firstLine="83"/>
              <w:jc w:val="left"/>
              <w:rPr>
                <w:rFonts w:ascii="sans-serif" w:hAnsi="sans-serif"/>
                <w:color w:val="000000"/>
                <w:sz w:val="20"/>
              </w:rPr>
            </w:pPr>
            <w:r>
              <w:rPr>
                <w:rFonts w:ascii="sans-serif" w:hAnsi="sans-serif"/>
                <w:color w:val="000000"/>
                <w:sz w:val="20"/>
              </w:rPr>
              <w:t>Furniture and equipment</w:t>
            </w:r>
          </w:p>
        </w:tc>
        <w:tc>
          <w:tcPr>
            <w:tcW w:w="1306" w:type="dxa"/>
            <w:tcBorders/>
            <w:tcMar>
              <w:top w:w="0" w:type="dxa"/>
              <w:left w:w="0" w:type="dxa"/>
              <w:bottom w:w="0" w:type="dxa"/>
              <w:right w:w="0" w:type="dxa"/>
            </w:tcMar>
            <w:vAlign w:val="center"/>
          </w:tcPr>
          <w:p>
            <w:pPr>
              <w:pStyle w:val="TableContents"/>
              <w:bidi w:val="0"/>
              <w:spacing w:before="6" w:after="283"/>
              <w:jc w:val="right"/>
              <w:rPr>
                <w:rFonts w:ascii="sans-serif" w:hAnsi="sans-serif"/>
                <w:color w:val="000000"/>
                <w:sz w:val="20"/>
              </w:rPr>
            </w:pPr>
            <w:r>
              <w:rPr>
                <w:rFonts w:ascii="sans-serif" w:hAnsi="sans-serif"/>
                <w:color w:val="000000"/>
                <w:sz w:val="20"/>
              </w:rPr>
              <w:t>29,098,135</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tcMar>
              <w:top w:w="0" w:type="dxa"/>
              <w:left w:w="0" w:type="dxa"/>
              <w:bottom w:w="0" w:type="dxa"/>
              <w:right w:w="0" w:type="dxa"/>
            </w:tcMar>
            <w:vAlign w:val="center"/>
          </w:tcPr>
          <w:p>
            <w:pPr>
              <w:pStyle w:val="TableContents"/>
              <w:bidi w:val="0"/>
              <w:spacing w:before="5" w:after="283"/>
              <w:ind w:left="0" w:right="0" w:firstLine="83"/>
              <w:jc w:val="right"/>
              <w:rPr>
                <w:rFonts w:ascii="sans-serif" w:hAnsi="sans-serif"/>
                <w:color w:val="000000"/>
                <w:sz w:val="20"/>
              </w:rPr>
            </w:pPr>
            <w:r>
              <w:rPr>
                <w:rFonts w:ascii="sans-serif" w:hAnsi="sans-serif"/>
                <w:color w:val="000000"/>
                <w:sz w:val="20"/>
              </w:rPr>
              <w:t>31,030,362</w:t>
            </w:r>
          </w:p>
        </w:tc>
      </w:tr>
      <w:tr>
        <w:trPr/>
        <w:tc>
          <w:tcPr>
            <w:tcW w:w="3673" w:type="dxa"/>
            <w:tcBorders/>
            <w:tcMar>
              <w:top w:w="0" w:type="dxa"/>
              <w:left w:w="0" w:type="dxa"/>
              <w:bottom w:w="0" w:type="dxa"/>
              <w:right w:w="0" w:type="dxa"/>
            </w:tcMar>
            <w:vAlign w:val="center"/>
          </w:tcPr>
          <w:p>
            <w:pPr>
              <w:pStyle w:val="TableContents"/>
              <w:bidi w:val="0"/>
              <w:spacing w:before="5" w:after="283"/>
              <w:ind w:left="0" w:right="0" w:firstLine="83"/>
              <w:jc w:val="left"/>
              <w:rPr>
                <w:rFonts w:ascii="sans-serif" w:hAnsi="sans-serif"/>
                <w:color w:val="000000"/>
                <w:sz w:val="20"/>
              </w:rPr>
            </w:pPr>
            <w:r>
              <w:rPr>
                <w:rFonts w:ascii="sans-serif" w:hAnsi="sans-serif"/>
                <w:color w:val="000000"/>
                <w:sz w:val="20"/>
              </w:rPr>
              <w:t>Other</w:t>
            </w:r>
          </w:p>
        </w:tc>
        <w:tc>
          <w:tcPr>
            <w:tcW w:w="1306" w:type="dxa"/>
            <w:tcBorders>
              <w:bottom w:val="single" w:sz="4" w:space="0" w:color="000000"/>
            </w:tcBorders>
            <w:tcMar>
              <w:top w:w="0" w:type="dxa"/>
              <w:left w:w="0" w:type="dxa"/>
              <w:right w:w="0" w:type="dxa"/>
            </w:tcMar>
            <w:vAlign w:val="center"/>
          </w:tcPr>
          <w:p>
            <w:pPr>
              <w:pStyle w:val="TableContents"/>
              <w:bidi w:val="0"/>
              <w:spacing w:before="17" w:after="283"/>
              <w:jc w:val="right"/>
              <w:rPr>
                <w:rFonts w:ascii="sans-serif" w:hAnsi="sans-serif"/>
                <w:color w:val="000000"/>
                <w:sz w:val="20"/>
              </w:rPr>
            </w:pPr>
            <w:r>
              <w:rPr>
                <w:rFonts w:ascii="sans-serif" w:hAnsi="sans-serif"/>
                <w:color w:val="000000"/>
                <w:sz w:val="20"/>
              </w:rPr>
              <w:t>8,904,456</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17" w:after="283"/>
              <w:ind w:left="0" w:right="0" w:firstLine="642"/>
              <w:jc w:val="right"/>
              <w:rPr>
                <w:rFonts w:ascii="sans-serif" w:hAnsi="sans-serif"/>
                <w:color w:val="000000"/>
                <w:sz w:val="20"/>
              </w:rPr>
            </w:pPr>
            <w:r>
              <w:rPr>
                <w:rFonts w:ascii="sans-serif" w:hAnsi="sans-serif"/>
                <w:color w:val="000000"/>
                <w:sz w:val="20"/>
              </w:rPr>
              <w:t>8,559,156</w:t>
            </w:r>
          </w:p>
        </w:tc>
      </w:tr>
      <w:tr>
        <w:trPr/>
        <w:tc>
          <w:tcPr>
            <w:tcW w:w="3673" w:type="dxa"/>
            <w:tcBorders/>
            <w:tcMar>
              <w:top w:w="0" w:type="dxa"/>
              <w:left w:w="0" w:type="dxa"/>
              <w:bottom w:w="0" w:type="dxa"/>
              <w:right w:w="0" w:type="dxa"/>
            </w:tcMar>
            <w:vAlign w:val="center"/>
          </w:tcPr>
          <w:p>
            <w:pPr>
              <w:pStyle w:val="TableContents"/>
              <w:bidi w:val="0"/>
              <w:spacing w:before="30" w:after="283"/>
              <w:ind w:left="0" w:right="0" w:firstLine="642"/>
              <w:jc w:val="left"/>
              <w:rPr>
                <w:rFonts w:ascii="sans-serif" w:hAnsi="sans-serif"/>
                <w:color w:val="000000"/>
                <w:sz w:val="20"/>
              </w:rPr>
            </w:pPr>
            <w:r>
              <w:rPr>
                <w:rFonts w:ascii="sans-serif" w:hAnsi="sans-serif"/>
                <w:color w:val="000000"/>
                <w:sz w:val="20"/>
              </w:rPr>
              <w:t>Total property and equipment</w:t>
            </w:r>
          </w:p>
        </w:tc>
        <w:tc>
          <w:tcPr>
            <w:tcW w:w="1306" w:type="dxa"/>
            <w:tcBorders>
              <w:bottom w:val="single" w:sz="4" w:space="0" w:color="000000"/>
            </w:tcBorders>
            <w:tcMar>
              <w:top w:w="0" w:type="dxa"/>
              <w:left w:w="0" w:type="dxa"/>
              <w:right w:w="0" w:type="dxa"/>
            </w:tcMar>
            <w:vAlign w:val="center"/>
          </w:tcPr>
          <w:p>
            <w:pPr>
              <w:pStyle w:val="TableContents"/>
              <w:bidi w:val="0"/>
              <w:spacing w:before="56" w:after="283"/>
              <w:jc w:val="right"/>
              <w:rPr>
                <w:rFonts w:ascii="sans-serif" w:hAnsi="sans-serif"/>
                <w:color w:val="000000"/>
                <w:sz w:val="20"/>
              </w:rPr>
            </w:pPr>
            <w:r>
              <w:rPr>
                <w:rFonts w:ascii="sans-serif" w:hAnsi="sans-serif"/>
                <w:color w:val="000000"/>
                <w:sz w:val="20"/>
              </w:rPr>
              <w:t>50,096,610</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56" w:after="283"/>
              <w:ind w:left="0" w:right="0" w:firstLine="50"/>
              <w:jc w:val="right"/>
              <w:rPr>
                <w:rFonts w:ascii="sans-serif" w:hAnsi="sans-serif"/>
                <w:color w:val="000000"/>
                <w:sz w:val="20"/>
              </w:rPr>
            </w:pPr>
            <w:r>
              <w:rPr>
                <w:rFonts w:ascii="sans-serif" w:hAnsi="sans-serif"/>
                <w:color w:val="000000"/>
                <w:sz w:val="20"/>
              </w:rPr>
              <w:t>53,067,290</w:t>
            </w:r>
          </w:p>
        </w:tc>
      </w:tr>
      <w:tr>
        <w:trPr/>
        <w:tc>
          <w:tcPr>
            <w:tcW w:w="3673" w:type="dxa"/>
            <w:tcBorders/>
            <w:tcMar>
              <w:top w:w="0" w:type="dxa"/>
              <w:left w:w="0" w:type="dxa"/>
              <w:bottom w:w="0" w:type="dxa"/>
              <w:right w:w="0" w:type="dxa"/>
            </w:tcMar>
            <w:vAlign w:val="center"/>
          </w:tcPr>
          <w:p>
            <w:pPr>
              <w:pStyle w:val="TableContents"/>
              <w:bidi w:val="0"/>
              <w:spacing w:before="30" w:after="283"/>
              <w:ind w:left="0" w:right="0" w:firstLine="50"/>
              <w:jc w:val="left"/>
              <w:rPr>
                <w:rFonts w:ascii="sans-serif" w:hAnsi="sans-serif"/>
                <w:color w:val="000000"/>
                <w:sz w:val="20"/>
              </w:rPr>
            </w:pPr>
            <w:r>
              <w:rPr>
                <w:rFonts w:ascii="sans-serif" w:hAnsi="sans-serif"/>
                <w:color w:val="000000"/>
                <w:sz w:val="20"/>
              </w:rPr>
              <w:t>Less: Accumulated depreciation</w:t>
            </w:r>
          </w:p>
        </w:tc>
        <w:tc>
          <w:tcPr>
            <w:tcW w:w="1306" w:type="dxa"/>
            <w:tcBorders>
              <w:bottom w:val="single" w:sz="4" w:space="0" w:color="000000"/>
            </w:tcBorders>
            <w:tcMar>
              <w:top w:w="0" w:type="dxa"/>
              <w:left w:w="0" w:type="dxa"/>
              <w:right w:w="0" w:type="dxa"/>
            </w:tcMar>
            <w:vAlign w:val="center"/>
          </w:tcPr>
          <w:p>
            <w:pPr>
              <w:pStyle w:val="TableContents"/>
              <w:bidi w:val="0"/>
              <w:spacing w:before="59" w:after="283"/>
              <w:jc w:val="right"/>
              <w:rPr>
                <w:rFonts w:ascii="sans-serif" w:hAnsi="sans-serif"/>
                <w:color w:val="000000"/>
                <w:sz w:val="20"/>
              </w:rPr>
            </w:pPr>
            <w:r>
              <w:rPr>
                <w:rFonts w:ascii="sans-serif" w:hAnsi="sans-serif"/>
                <w:color w:val="000000"/>
                <w:sz w:val="20"/>
              </w:rPr>
              <w:t>44,887,315</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tcMar>
              <w:top w:w="0" w:type="dxa"/>
              <w:left w:w="0" w:type="dxa"/>
              <w:right w:w="0" w:type="dxa"/>
            </w:tcMar>
            <w:vAlign w:val="center"/>
          </w:tcPr>
          <w:p>
            <w:pPr>
              <w:pStyle w:val="TableContents"/>
              <w:bidi w:val="0"/>
              <w:spacing w:before="59" w:after="283"/>
              <w:ind w:left="0" w:right="0" w:firstLine="83"/>
              <w:jc w:val="right"/>
              <w:rPr>
                <w:rFonts w:ascii="sans-serif" w:hAnsi="sans-serif"/>
                <w:color w:val="000000"/>
                <w:sz w:val="20"/>
              </w:rPr>
            </w:pPr>
            <w:r>
              <w:rPr>
                <w:rFonts w:ascii="sans-serif" w:hAnsi="sans-serif"/>
                <w:color w:val="000000"/>
                <w:sz w:val="20"/>
              </w:rPr>
              <w:t>46,746,109</w:t>
            </w:r>
          </w:p>
        </w:tc>
      </w:tr>
      <w:tr>
        <w:trPr/>
        <w:tc>
          <w:tcPr>
            <w:tcW w:w="3673" w:type="dxa"/>
            <w:tcBorders/>
            <w:tcMar>
              <w:top w:w="0" w:type="dxa"/>
              <w:left w:w="0" w:type="dxa"/>
              <w:bottom w:w="0" w:type="dxa"/>
              <w:right w:w="0" w:type="dxa"/>
            </w:tcMar>
            <w:vAlign w:val="center"/>
          </w:tcPr>
          <w:p>
            <w:pPr>
              <w:pStyle w:val="TableContents"/>
              <w:bidi w:val="0"/>
              <w:spacing w:before="20" w:after="283"/>
              <w:ind w:left="0" w:right="0" w:firstLine="83"/>
              <w:jc w:val="left"/>
              <w:rPr>
                <w:rFonts w:ascii="sans-serif" w:hAnsi="sans-serif"/>
                <w:color w:val="000000"/>
                <w:sz w:val="20"/>
              </w:rPr>
            </w:pPr>
            <w:r>
              <w:rPr>
                <w:rFonts w:ascii="sans-serif" w:hAnsi="sans-serif"/>
                <w:color w:val="000000"/>
                <w:sz w:val="20"/>
              </w:rPr>
              <w:t>Property and equipment—net</w:t>
            </w:r>
          </w:p>
        </w:tc>
        <w:tc>
          <w:tcPr>
            <w:tcW w:w="1306" w:type="dxa"/>
            <w:tcBorders>
              <w:bottom w:val="double" w:sz="4" w:space="0" w:color="000000"/>
            </w:tcBorders>
            <w:tcMar>
              <w:top w:w="0" w:type="dxa"/>
              <w:left w:w="0" w:type="dxa"/>
              <w:right w:w="0" w:type="dxa"/>
            </w:tcMar>
            <w:vAlign w:val="center"/>
          </w:tcPr>
          <w:p>
            <w:pPr>
              <w:pStyle w:val="TableContents"/>
              <w:bidi w:val="0"/>
              <w:spacing w:before="47" w:after="283"/>
              <w:jc w:val="right"/>
              <w:rPr>
                <w:rFonts w:ascii="sans-serif" w:hAnsi="sans-serif"/>
                <w:color w:val="000000"/>
                <w:sz w:val="20"/>
              </w:rPr>
            </w:pPr>
            <w:r>
              <w:rPr>
                <w:rFonts w:ascii="sans-serif" w:hAnsi="sans-serif"/>
                <w:color w:val="000000"/>
                <w:sz w:val="20"/>
              </w:rPr>
              <w:t>$5,209,295</w:t>
            </w:r>
          </w:p>
        </w:tc>
        <w:tc>
          <w:tcPr>
            <w:tcW w:w="148"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753" w:type="dxa"/>
            <w:tcBorders>
              <w:bottom w:val="double" w:sz="4" w:space="0" w:color="000000"/>
            </w:tcBorders>
            <w:tcMar>
              <w:top w:w="0" w:type="dxa"/>
              <w:left w:w="0" w:type="dxa"/>
              <w:right w:w="0" w:type="dxa"/>
            </w:tcMar>
            <w:vAlign w:val="center"/>
          </w:tcPr>
          <w:p>
            <w:pPr>
              <w:pStyle w:val="TableContents"/>
              <w:bidi w:val="0"/>
              <w:spacing w:before="47" w:after="283"/>
              <w:jc w:val="right"/>
              <w:rPr>
                <w:rFonts w:ascii="sans-serif" w:hAnsi="sans-serif"/>
                <w:color w:val="000000"/>
                <w:sz w:val="20"/>
              </w:rPr>
            </w:pPr>
            <w:r>
              <w:rPr>
                <w:rFonts w:ascii="sans-serif" w:hAnsi="sans-serif"/>
                <w:color w:val="000000"/>
                <w:sz w:val="20"/>
              </w:rPr>
              <w:t>$6,321,181</w:t>
            </w:r>
          </w:p>
        </w:tc>
      </w:tr>
    </w:tbl>
    <w:p>
      <w:pPr>
        <w:pStyle w:val="TextBody"/>
        <w:bidi w:val="0"/>
        <w:spacing w:before="128" w:after="283"/>
        <w:jc w:val="both"/>
        <w:rPr>
          <w:rFonts w:ascii="sans-serif" w:hAnsi="sans-serif"/>
          <w:color w:val="000000"/>
          <w:sz w:val="20"/>
        </w:rPr>
      </w:pPr>
      <w:r>
        <w:rPr>
          <w:rFonts w:ascii="sans-serif" w:hAnsi="sans-serif"/>
          <w:color w:val="000000"/>
          <w:sz w:val="20"/>
        </w:rPr>
        <w:t>Total depreciation expense for the years ended December 31, 2025, and 2024, was $2,569,743 and $3,311,478 respectively.</w:t>
      </w:r>
    </w:p>
    <w:p>
      <w:pPr>
        <w:pStyle w:val="TextBody"/>
        <w:bidi w:val="0"/>
        <w:spacing w:before="122" w:after="283"/>
        <w:jc w:val="both"/>
        <w:rPr>
          <w:rFonts w:ascii="sans-serif" w:hAnsi="sans-serif"/>
          <w:color w:val="000000"/>
          <w:sz w:val="20"/>
        </w:rPr>
      </w:pPr>
      <w:r>
        <w:rPr>
          <w:rFonts w:ascii="sans-serif" w:hAnsi="sans-serif"/>
          <w:color w:val="000000"/>
          <w:sz w:val="20"/>
        </w:rPr>
        <w:t>The Company has acquired one property and equipment under finance lease during the year ended December 31, 2025.</w:t>
      </w:r>
    </w:p>
    <w:p>
      <w:pPr>
        <w:pStyle w:val="TextBody"/>
        <w:bidi w:val="0"/>
        <w:spacing w:before="118" w:after="283"/>
        <w:jc w:val="left"/>
        <w:rPr>
          <w:rFonts w:ascii="sans-serif" w:hAnsi="sans-serif"/>
          <w:b/>
          <w:color w:val="000000"/>
          <w:sz w:val="20"/>
        </w:rPr>
      </w:pPr>
      <w:r>
        <w:rPr>
          <w:rFonts w:ascii="sans-serif" w:hAnsi="sans-serif"/>
          <w:b/>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18" w:after="283"/>
        <w:jc w:val="left"/>
        <w:rPr>
          <w:rFonts w:ascii="sans-serif" w:hAnsi="sans-serif"/>
          <w:b/>
          <w:color w:val="000000"/>
          <w:sz w:val="20"/>
        </w:rPr>
      </w:pPr>
      <w:r>
        <w:rPr>
          <w:rFonts w:ascii="sans-serif" w:hAnsi="sans-serif"/>
          <w:b/>
          <w:color w:val="000000"/>
          <w:sz w:val="20"/>
        </w:rPr>
        <w:t>CAPITALIZED SOFTWARE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jc w:val="both"/>
        <w:rPr>
          <w:rFonts w:ascii="sans-serif" w:hAnsi="sans-serif"/>
          <w:color w:val="000000"/>
          <w:sz w:val="20"/>
        </w:rPr>
      </w:pPr>
      <w:r>
        <w:rPr>
          <w:rFonts w:ascii="sans-serif" w:hAnsi="sans-serif"/>
          <w:color w:val="000000"/>
          <w:sz w:val="20"/>
        </w:rPr>
        <w:t>Capitalized software as of December 31, 2025, and 2024, consisted of the following:</w:t>
      </w:r>
    </w:p>
    <w:p>
      <w:pPr>
        <w:pStyle w:val="TextBody"/>
        <w:bidi w:val="0"/>
        <w:spacing w:before="8" w:after="1"/>
        <w:jc w:val="left"/>
        <w:rPr/>
      </w:pPr>
      <w:r>
        <w:rPr/>
        <w:t> </w:t>
      </w:r>
    </w:p>
    <w:tbl>
      <w:tblPr>
        <w:tblW w:w="7265" w:type="dxa"/>
        <w:jc w:val="left"/>
        <w:tblInd w:w="0" w:type="dxa"/>
        <w:tblLayout w:type="fixed"/>
        <w:tblCellMar>
          <w:top w:w="28" w:type="dxa"/>
          <w:left w:w="28" w:type="dxa"/>
          <w:bottom w:w="28" w:type="dxa"/>
          <w:right w:w="28" w:type="dxa"/>
        </w:tblCellMar>
      </w:tblPr>
      <w:tblGrid>
        <w:gridCol w:w="3819"/>
        <w:gridCol w:w="1899"/>
        <w:gridCol w:w="146"/>
        <w:gridCol w:w="1401"/>
      </w:tblGrid>
      <w:tr>
        <w:trPr/>
        <w:tc>
          <w:tcPr>
            <w:tcW w:w="381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3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01" w:type="dxa"/>
            <w:tcBorders/>
            <w:tcMar>
              <w:top w:w="0" w:type="dxa"/>
              <w:left w:w="0" w:type="dxa"/>
              <w:bottom w:w="0" w:type="dxa"/>
              <w:right w:w="0" w:type="dxa"/>
            </w:tcMar>
            <w:vAlign w:val="center"/>
          </w:tcPr>
          <w:p>
            <w:pPr>
              <w:pStyle w:val="TableContents"/>
              <w:bidi w:val="0"/>
              <w:spacing w:before="0" w:after="283"/>
              <w:ind w:left="0" w:right="0" w:firstLine="50"/>
              <w:jc w:val="center"/>
              <w:rPr>
                <w:rFonts w:ascii="sans-serif" w:hAnsi="sans-serif"/>
                <w:b/>
                <w:color w:val="000000"/>
                <w:sz w:val="20"/>
              </w:rPr>
            </w:pPr>
            <w:r>
              <w:rPr>
                <w:rFonts w:ascii="sans-serif" w:hAnsi="sans-serif"/>
                <w:b/>
                <w:color w:val="000000"/>
                <w:sz w:val="20"/>
              </w:rPr>
              <w:t>2024</w:t>
            </w:r>
          </w:p>
        </w:tc>
      </w:tr>
      <w:tr>
        <w:trPr/>
        <w:tc>
          <w:tcPr>
            <w:tcW w:w="3819" w:type="dxa"/>
            <w:tcBorders/>
            <w:tcMar>
              <w:top w:w="0" w:type="dxa"/>
              <w:left w:w="0" w:type="dxa"/>
              <w:bottom w:w="0" w:type="dxa"/>
              <w:right w:w="0" w:type="dxa"/>
            </w:tcMar>
            <w:vAlign w:val="center"/>
          </w:tcPr>
          <w:p>
            <w:pPr>
              <w:pStyle w:val="TableContents"/>
              <w:bidi w:val="0"/>
              <w:spacing w:before="0" w:after="283"/>
              <w:ind w:left="0" w:right="0" w:firstLine="583"/>
              <w:jc w:val="left"/>
              <w:rPr>
                <w:rFonts w:ascii="sans-serif" w:hAnsi="sans-serif"/>
                <w:color w:val="000000"/>
                <w:sz w:val="20"/>
              </w:rPr>
            </w:pPr>
            <w:r>
              <w:rPr>
                <w:rFonts w:ascii="sans-serif" w:hAnsi="sans-serif"/>
                <w:color w:val="000000"/>
                <w:sz w:val="20"/>
              </w:rPr>
              <w:t>Capitalized software</w:t>
            </w:r>
          </w:p>
        </w:tc>
        <w:tc>
          <w:tcPr>
            <w:tcW w:w="1899" w:type="dxa"/>
            <w:tcBorders/>
            <w:tcMar>
              <w:top w:w="0" w:type="dxa"/>
              <w:left w:w="0" w:type="dxa"/>
              <w:bottom w:w="0" w:type="dxa"/>
              <w:right w:w="0" w:type="dxa"/>
            </w:tcMar>
            <w:vAlign w:val="center"/>
          </w:tcPr>
          <w:p>
            <w:pPr>
              <w:pStyle w:val="TableContents"/>
              <w:bidi w:val="0"/>
              <w:spacing w:before="32" w:after="283"/>
              <w:ind w:left="0" w:right="0" w:firstLine="583"/>
              <w:jc w:val="left"/>
              <w:rPr>
                <w:rFonts w:ascii="sans-serif" w:hAnsi="sans-serif"/>
                <w:color w:val="000000"/>
                <w:sz w:val="20"/>
              </w:rPr>
            </w:pPr>
            <w:r>
              <w:rPr>
                <w:rFonts w:ascii="sans-serif" w:hAnsi="sans-serif"/>
                <w:color w:val="000000"/>
                <w:sz w:val="20"/>
              </w:rPr>
              <w:t>$43,394,914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tcMar>
              <w:top w:w="0" w:type="dxa"/>
              <w:left w:w="0" w:type="dxa"/>
              <w:bottom w:w="0" w:type="dxa"/>
              <w:right w:w="0" w:type="dxa"/>
            </w:tcMar>
            <w:vAlign w:val="center"/>
          </w:tcPr>
          <w:p>
            <w:pPr>
              <w:pStyle w:val="TableContents"/>
              <w:bidi w:val="0"/>
              <w:spacing w:before="32" w:after="283"/>
              <w:ind w:left="0" w:right="0" w:firstLine="50"/>
              <w:jc w:val="right"/>
              <w:rPr>
                <w:rFonts w:ascii="sans-serif" w:hAnsi="sans-serif"/>
                <w:color w:val="000000"/>
                <w:sz w:val="20"/>
              </w:rPr>
            </w:pPr>
            <w:r>
              <w:rPr>
                <w:rFonts w:ascii="sans-serif" w:hAnsi="sans-serif"/>
                <w:color w:val="000000"/>
                <w:sz w:val="20"/>
              </w:rPr>
              <w:t>$24,089,193</w:t>
            </w:r>
          </w:p>
        </w:tc>
      </w:tr>
      <w:tr>
        <w:trPr/>
        <w:tc>
          <w:tcPr>
            <w:tcW w:w="3819" w:type="dxa"/>
            <w:tcBorders/>
            <w:tcMar>
              <w:top w:w="0" w:type="dxa"/>
              <w:left w:w="0" w:type="dxa"/>
              <w:bottom w:w="0" w:type="dxa"/>
              <w:right w:w="0" w:type="dxa"/>
            </w:tcMar>
            <w:vAlign w:val="center"/>
          </w:tcPr>
          <w:p>
            <w:pPr>
              <w:pStyle w:val="TableContents"/>
              <w:bidi w:val="0"/>
              <w:spacing w:before="3" w:after="283"/>
              <w:ind w:left="0" w:right="0" w:firstLine="563"/>
              <w:jc w:val="left"/>
              <w:rPr>
                <w:rFonts w:ascii="sans-serif" w:hAnsi="sans-serif"/>
                <w:color w:val="000000"/>
                <w:sz w:val="20"/>
              </w:rPr>
            </w:pPr>
            <w:r>
              <w:rPr>
                <w:rFonts w:ascii="sans-serif" w:hAnsi="sans-serif"/>
                <w:color w:val="000000"/>
                <w:sz w:val="20"/>
              </w:rPr>
              <w:t>Less: Accumulated amortization</w:t>
            </w:r>
          </w:p>
        </w:tc>
        <w:tc>
          <w:tcPr>
            <w:tcW w:w="1899" w:type="dxa"/>
            <w:tcBorders>
              <w:bottom w:val="single" w:sz="4" w:space="0" w:color="000000"/>
            </w:tcBorders>
            <w:tcMar>
              <w:top w:w="0" w:type="dxa"/>
              <w:left w:w="0" w:type="dxa"/>
              <w:right w:w="0" w:type="dxa"/>
            </w:tcMar>
            <w:vAlign w:val="center"/>
          </w:tcPr>
          <w:p>
            <w:pPr>
              <w:pStyle w:val="TableContents"/>
              <w:bidi w:val="0"/>
              <w:spacing w:before="46" w:after="283"/>
              <w:ind w:left="0" w:right="0" w:firstLine="563"/>
              <w:jc w:val="left"/>
              <w:rPr>
                <w:rFonts w:ascii="sans-serif" w:hAnsi="sans-serif"/>
                <w:color w:val="000000"/>
                <w:sz w:val="20"/>
              </w:rPr>
            </w:pPr>
            <w:r>
              <w:rPr>
                <w:rFonts w:ascii="sans-serif" w:hAnsi="sans-serif"/>
                <w:color w:val="000000"/>
                <w:sz w:val="20"/>
              </w:rPr>
              <w:t>(13,530,482)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46" w:after="283"/>
              <w:jc w:val="right"/>
              <w:rPr>
                <w:rFonts w:ascii="sans-serif" w:hAnsi="sans-serif"/>
                <w:color w:val="000000"/>
                <w:sz w:val="20"/>
              </w:rPr>
            </w:pPr>
            <w:r>
              <w:rPr>
                <w:rFonts w:ascii="sans-serif" w:hAnsi="sans-serif"/>
                <w:color w:val="000000"/>
                <w:sz w:val="20"/>
              </w:rPr>
              <w:t>(8,264,084)</w:t>
            </w:r>
          </w:p>
        </w:tc>
      </w:tr>
      <w:tr>
        <w:trPr/>
        <w:tc>
          <w:tcPr>
            <w:tcW w:w="3819" w:type="dxa"/>
            <w:tcBorders/>
            <w:tcMar>
              <w:top w:w="0" w:type="dxa"/>
              <w:left w:w="0" w:type="dxa"/>
              <w:bottom w:w="0" w:type="dxa"/>
              <w:right w:w="0" w:type="dxa"/>
            </w:tcMar>
            <w:vAlign w:val="center"/>
          </w:tcPr>
          <w:p>
            <w:pPr>
              <w:pStyle w:val="TableContents"/>
              <w:bidi w:val="0"/>
              <w:spacing w:before="0" w:after="283"/>
              <w:ind w:left="0" w:right="0" w:firstLine="583"/>
              <w:jc w:val="left"/>
              <w:rPr/>
            </w:pPr>
            <w:r>
              <w:rPr/>
              <w:t> </w:t>
            </w:r>
          </w:p>
        </w:tc>
        <w:tc>
          <w:tcPr>
            <w:tcW w:w="1899" w:type="dxa"/>
            <w:tcBorders>
              <w:bottom w:val="double" w:sz="4" w:space="0" w:color="000000"/>
            </w:tcBorders>
            <w:tcMar>
              <w:top w:w="0" w:type="dxa"/>
              <w:left w:w="0" w:type="dxa"/>
              <w:right w:w="0" w:type="dxa"/>
            </w:tcMar>
            <w:vAlign w:val="center"/>
          </w:tcPr>
          <w:p>
            <w:pPr>
              <w:pStyle w:val="TableContents"/>
              <w:bidi w:val="0"/>
              <w:spacing w:before="47" w:after="283"/>
              <w:ind w:left="0" w:right="0" w:firstLine="583"/>
              <w:jc w:val="left"/>
              <w:rPr>
                <w:rFonts w:ascii="sans-serif" w:hAnsi="sans-serif"/>
                <w:color w:val="000000"/>
                <w:sz w:val="20"/>
              </w:rPr>
            </w:pPr>
            <w:r>
              <w:rPr>
                <w:rFonts w:ascii="sans-serif" w:hAnsi="sans-serif"/>
                <w:color w:val="000000"/>
                <w:sz w:val="20"/>
              </w:rPr>
              <w:t>$29,864,432</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double" w:sz="4" w:space="0" w:color="000000"/>
            </w:tcBorders>
            <w:tcMar>
              <w:top w:w="0" w:type="dxa"/>
              <w:left w:w="0" w:type="dxa"/>
              <w:right w:w="0" w:type="dxa"/>
            </w:tcMar>
            <w:vAlign w:val="center"/>
          </w:tcPr>
          <w:p>
            <w:pPr>
              <w:pStyle w:val="TableContents"/>
              <w:bidi w:val="0"/>
              <w:spacing w:before="47" w:after="283"/>
              <w:jc w:val="right"/>
              <w:rPr>
                <w:rFonts w:ascii="sans-serif" w:hAnsi="sans-serif"/>
                <w:color w:val="000000"/>
                <w:sz w:val="20"/>
              </w:rPr>
            </w:pPr>
            <w:r>
              <w:rPr>
                <w:rFonts w:ascii="sans-serif" w:hAnsi="sans-serif"/>
                <w:color w:val="000000"/>
                <w:sz w:val="20"/>
              </w:rPr>
              <w:t>$15,825,109</w:t>
            </w:r>
          </w:p>
        </w:tc>
      </w:tr>
    </w:tbl>
    <w:p>
      <w:pPr>
        <w:pStyle w:val="TextBody"/>
        <w:bidi w:val="0"/>
        <w:spacing w:before="6" w:after="283"/>
        <w:jc w:val="left"/>
        <w:rPr/>
      </w:pPr>
      <w:r>
        <w:rPr/>
        <w:t> </w:t>
      </w:r>
    </w:p>
    <w:p>
      <w:pPr>
        <w:pStyle w:val="TextBody"/>
        <w:bidi w:val="0"/>
        <w:jc w:val="both"/>
        <w:rPr>
          <w:rFonts w:ascii="sans-serif" w:hAnsi="sans-serif"/>
          <w:color w:val="000000"/>
          <w:sz w:val="20"/>
        </w:rPr>
      </w:pPr>
      <w:r>
        <w:rPr>
          <w:rFonts w:ascii="sans-serif" w:hAnsi="sans-serif"/>
          <w:color w:val="000000"/>
          <w:sz w:val="20"/>
        </w:rPr>
        <w:t>Total amortization expense for the years ended December 31, 2025, and 2024, was $5,266,398 and $2,956,278 respectively.</w:t>
      </w:r>
    </w:p>
    <w:p>
      <w:pPr>
        <w:pStyle w:val="TextBody"/>
        <w:bidi w:val="0"/>
        <w:spacing w:before="44" w:after="283"/>
        <w:jc w:val="left"/>
        <w:rPr>
          <w:rFonts w:ascii="sans-serif" w:hAnsi="sans-serif"/>
          <w:b/>
          <w:color w:val="000000"/>
          <w:sz w:val="20"/>
        </w:rPr>
      </w:pPr>
      <w:r>
        <w:rPr>
          <w:rFonts w:ascii="sans-serif" w:hAnsi="sans-serif"/>
          <w:b/>
          <w:color w:val="000000"/>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4" w:after="283"/>
        <w:jc w:val="left"/>
        <w:rPr>
          <w:rFonts w:ascii="sans-serif" w:hAnsi="sans-serif"/>
          <w:b/>
          <w:color w:val="000000"/>
          <w:sz w:val="20"/>
        </w:rPr>
      </w:pPr>
      <w:r>
        <w:rPr>
          <w:rFonts w:ascii="sans-serif" w:hAnsi="sans-serif"/>
          <w:b/>
          <w:color w:val="000000"/>
          <w:sz w:val="20"/>
        </w:rPr>
        <w:t>INTANGIBLES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sans-serif" w:hAnsi="sans-serif"/>
          <w:color w:val="000000"/>
          <w:sz w:val="20"/>
        </w:rPr>
      </w:pPr>
      <w:r>
        <w:rPr>
          <w:rFonts w:ascii="sans-serif" w:hAnsi="sans-serif"/>
          <w:color w:val="000000"/>
          <w:sz w:val="20"/>
        </w:rPr>
        <w:t>Intangibles as of December 31, 2025, and 2024, consisted of the following:</w:t>
      </w:r>
    </w:p>
    <w:p>
      <w:pPr>
        <w:pStyle w:val="TextBody"/>
        <w:bidi w:val="0"/>
        <w:spacing w:before="112" w:after="283"/>
        <w:jc w:val="left"/>
        <w:rPr/>
      </w:pPr>
      <w:r>
        <w:rPr/>
        <w:t> </w:t>
      </w:r>
    </w:p>
    <w:tbl>
      <w:tblPr>
        <w:tblW w:w="6334" w:type="dxa"/>
        <w:jc w:val="left"/>
        <w:tblInd w:w="0" w:type="dxa"/>
        <w:tblLayout w:type="fixed"/>
        <w:tblCellMar>
          <w:top w:w="28" w:type="dxa"/>
          <w:left w:w="28" w:type="dxa"/>
          <w:bottom w:w="28" w:type="dxa"/>
          <w:right w:w="28" w:type="dxa"/>
        </w:tblCellMar>
      </w:tblPr>
      <w:tblGrid>
        <w:gridCol w:w="3231"/>
        <w:gridCol w:w="1456"/>
        <w:gridCol w:w="146"/>
        <w:gridCol w:w="1501"/>
      </w:tblGrid>
      <w:tr>
        <w:trPr/>
        <w:tc>
          <w:tcPr>
            <w:tcW w:w="323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231" w:type="dxa"/>
            <w:tcBorders/>
            <w:tcMar>
              <w:top w:w="0" w:type="dxa"/>
              <w:left w:w="0" w:type="dxa"/>
              <w:bottom w:w="0" w:type="dxa"/>
              <w:right w:w="0" w:type="dxa"/>
            </w:tcMar>
            <w:vAlign w:val="center"/>
          </w:tcPr>
          <w:p>
            <w:pPr>
              <w:pStyle w:val="TableContents"/>
              <w:bidi w:val="0"/>
              <w:spacing w:before="0" w:after="283"/>
              <w:ind w:left="0" w:right="0" w:firstLine="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ind w:left="0" w:right="0" w:firstLine="3"/>
              <w:jc w:val="center"/>
              <w:rPr>
                <w:rFonts w:ascii="sans-serif" w:hAnsi="sans-serif"/>
                <w:b/>
                <w:color w:val="000000"/>
                <w:sz w:val="20"/>
              </w:rPr>
            </w:pPr>
            <w:r>
              <w:rPr>
                <w:rFonts w:ascii="sans-serif" w:hAnsi="sans-serif"/>
                <w:b/>
                <w:color w:val="000000"/>
                <w:sz w:val="20"/>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ind w:left="0" w:right="0" w:firstLine="50"/>
              <w:jc w:val="center"/>
              <w:rPr>
                <w:rFonts w:ascii="sans-serif" w:hAnsi="sans-serif"/>
                <w:b/>
                <w:color w:val="000000"/>
                <w:sz w:val="20"/>
              </w:rPr>
            </w:pPr>
            <w:r>
              <w:rPr>
                <w:rFonts w:ascii="sans-serif" w:hAnsi="sans-serif"/>
                <w:b/>
                <w:color w:val="000000"/>
                <w:sz w:val="20"/>
              </w:rPr>
              <w:t>2024</w:t>
            </w:r>
          </w:p>
        </w:tc>
      </w:tr>
      <w:tr>
        <w:trPr/>
        <w:tc>
          <w:tcPr>
            <w:tcW w:w="3231"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color w:val="000000"/>
                <w:sz w:val="20"/>
              </w:rPr>
            </w:pPr>
            <w:r>
              <w:rPr>
                <w:rFonts w:ascii="sans-serif" w:hAnsi="sans-serif"/>
                <w:color w:val="000000"/>
                <w:sz w:val="20"/>
              </w:rPr>
              <w:t>Trade names</w:t>
            </w:r>
          </w:p>
        </w:tc>
        <w:tc>
          <w:tcPr>
            <w:tcW w:w="1456" w:type="dxa"/>
            <w:tcBorders/>
            <w:tcMar>
              <w:top w:w="0" w:type="dxa"/>
              <w:left w:w="0" w:type="dxa"/>
              <w:bottom w:w="0" w:type="dxa"/>
              <w:right w:w="0" w:type="dxa"/>
            </w:tcMar>
            <w:vAlign w:val="center"/>
          </w:tcPr>
          <w:p>
            <w:pPr>
              <w:pStyle w:val="TableContents"/>
              <w:bidi w:val="0"/>
              <w:spacing w:before="33" w:after="283"/>
              <w:jc w:val="right"/>
              <w:rPr>
                <w:rFonts w:ascii="sans-serif" w:hAnsi="sans-serif"/>
                <w:color w:val="000000"/>
                <w:sz w:val="20"/>
              </w:rPr>
            </w:pPr>
            <w:r>
              <w:rPr>
                <w:rFonts w:ascii="sans-serif" w:hAnsi="sans-serif"/>
                <w:color w:val="000000"/>
                <w:sz w:val="20"/>
              </w:rPr>
              <w:t>$26,130,000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33" w:after="283"/>
              <w:ind w:left="0" w:right="0" w:firstLine="50"/>
              <w:jc w:val="right"/>
              <w:rPr>
                <w:rFonts w:ascii="sans-serif" w:hAnsi="sans-serif"/>
                <w:color w:val="000000"/>
                <w:sz w:val="20"/>
              </w:rPr>
            </w:pPr>
            <w:r>
              <w:rPr>
                <w:rFonts w:ascii="sans-serif" w:hAnsi="sans-serif"/>
                <w:color w:val="000000"/>
                <w:sz w:val="20"/>
              </w:rPr>
              <w:t>$26,130,000</w:t>
            </w:r>
          </w:p>
        </w:tc>
      </w:tr>
      <w:tr>
        <w:trPr/>
        <w:tc>
          <w:tcPr>
            <w:tcW w:w="3231" w:type="dxa"/>
            <w:tcBorders/>
            <w:tcMar>
              <w:top w:w="0" w:type="dxa"/>
              <w:left w:w="0" w:type="dxa"/>
              <w:bottom w:w="0" w:type="dxa"/>
              <w:right w:w="0" w:type="dxa"/>
            </w:tcMar>
            <w:vAlign w:val="center"/>
          </w:tcPr>
          <w:p>
            <w:pPr>
              <w:pStyle w:val="TableContents"/>
              <w:bidi w:val="0"/>
              <w:spacing w:before="3" w:after="283"/>
              <w:ind w:left="0" w:right="0" w:firstLine="50"/>
              <w:jc w:val="left"/>
              <w:rPr>
                <w:rFonts w:ascii="sans-serif" w:hAnsi="sans-serif"/>
                <w:color w:val="000000"/>
                <w:sz w:val="20"/>
              </w:rPr>
            </w:pPr>
            <w:r>
              <w:rPr>
                <w:rFonts w:ascii="sans-serif" w:hAnsi="sans-serif"/>
                <w:color w:val="000000"/>
                <w:sz w:val="20"/>
              </w:rPr>
              <w:t>Customer lists</w:t>
            </w:r>
          </w:p>
        </w:tc>
        <w:tc>
          <w:tcPr>
            <w:tcW w:w="1456" w:type="dxa"/>
            <w:tcBorders/>
            <w:tcMar>
              <w:top w:w="0" w:type="dxa"/>
              <w:left w:w="0" w:type="dxa"/>
              <w:bottom w:w="0" w:type="dxa"/>
              <w:right w:w="0" w:type="dxa"/>
            </w:tcMar>
            <w:vAlign w:val="center"/>
          </w:tcPr>
          <w:p>
            <w:pPr>
              <w:pStyle w:val="TableContents"/>
              <w:bidi w:val="0"/>
              <w:spacing w:before="44" w:after="283"/>
              <w:jc w:val="right"/>
              <w:rPr>
                <w:rFonts w:ascii="sans-serif" w:hAnsi="sans-serif"/>
                <w:color w:val="000000"/>
                <w:sz w:val="20"/>
              </w:rPr>
            </w:pPr>
            <w:r>
              <w:rPr>
                <w:rFonts w:ascii="sans-serif" w:hAnsi="sans-serif"/>
                <w:color w:val="000000"/>
                <w:sz w:val="20"/>
              </w:rPr>
              <w:t>245,000,000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44" w:after="283"/>
              <w:ind w:left="0" w:right="0" w:firstLine="50"/>
              <w:jc w:val="right"/>
              <w:rPr>
                <w:rFonts w:ascii="sans-serif" w:hAnsi="sans-serif"/>
                <w:color w:val="000000"/>
                <w:sz w:val="20"/>
              </w:rPr>
            </w:pPr>
            <w:r>
              <w:rPr>
                <w:rFonts w:ascii="sans-serif" w:hAnsi="sans-serif"/>
                <w:color w:val="000000"/>
                <w:sz w:val="20"/>
              </w:rPr>
              <w:t>245,000,000</w:t>
            </w:r>
          </w:p>
        </w:tc>
      </w:tr>
      <w:tr>
        <w:trPr/>
        <w:tc>
          <w:tcPr>
            <w:tcW w:w="3231" w:type="dxa"/>
            <w:tcBorders/>
            <w:tcMar>
              <w:top w:w="0" w:type="dxa"/>
              <w:left w:w="0" w:type="dxa"/>
              <w:bottom w:w="0" w:type="dxa"/>
              <w:right w:w="0" w:type="dxa"/>
            </w:tcMar>
            <w:vAlign w:val="center"/>
          </w:tcPr>
          <w:p>
            <w:pPr>
              <w:pStyle w:val="TableContents"/>
              <w:bidi w:val="0"/>
              <w:spacing w:before="3" w:after="283"/>
              <w:ind w:left="0" w:right="0" w:firstLine="50"/>
              <w:jc w:val="left"/>
              <w:rPr>
                <w:rFonts w:ascii="sans-serif" w:hAnsi="sans-serif"/>
                <w:color w:val="000000"/>
                <w:sz w:val="20"/>
              </w:rPr>
            </w:pPr>
            <w:r>
              <w:rPr>
                <w:rFonts w:ascii="sans-serif" w:hAnsi="sans-serif"/>
                <w:color w:val="000000"/>
                <w:sz w:val="20"/>
              </w:rPr>
              <w:t>Database/Tech</w:t>
            </w:r>
          </w:p>
        </w:tc>
        <w:tc>
          <w:tcPr>
            <w:tcW w:w="1456" w:type="dxa"/>
            <w:tcBorders/>
            <w:tcMar>
              <w:top w:w="0" w:type="dxa"/>
              <w:left w:w="0" w:type="dxa"/>
              <w:bottom w:w="0" w:type="dxa"/>
              <w:right w:w="0" w:type="dxa"/>
            </w:tcMar>
            <w:vAlign w:val="center"/>
          </w:tcPr>
          <w:p>
            <w:pPr>
              <w:pStyle w:val="TableContents"/>
              <w:bidi w:val="0"/>
              <w:spacing w:before="46" w:after="283"/>
              <w:jc w:val="right"/>
              <w:rPr>
                <w:rFonts w:ascii="sans-serif" w:hAnsi="sans-serif"/>
                <w:color w:val="000000"/>
                <w:sz w:val="20"/>
              </w:rPr>
            </w:pPr>
            <w:r>
              <w:rPr>
                <w:rFonts w:ascii="sans-serif" w:hAnsi="sans-serif"/>
                <w:color w:val="000000"/>
                <w:sz w:val="20"/>
              </w:rPr>
              <w:t>24,750,726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46" w:after="283"/>
              <w:ind w:left="0" w:right="0" w:firstLine="50"/>
              <w:jc w:val="right"/>
              <w:rPr>
                <w:rFonts w:ascii="sans-serif" w:hAnsi="sans-serif"/>
                <w:color w:val="000000"/>
                <w:sz w:val="20"/>
              </w:rPr>
            </w:pPr>
            <w:r>
              <w:rPr>
                <w:rFonts w:ascii="sans-serif" w:hAnsi="sans-serif"/>
                <w:color w:val="000000"/>
                <w:sz w:val="20"/>
              </w:rPr>
              <w:t>24,750,726</w:t>
            </w:r>
          </w:p>
        </w:tc>
      </w:tr>
      <w:tr>
        <w:trPr/>
        <w:tc>
          <w:tcPr>
            <w:tcW w:w="3231" w:type="dxa"/>
            <w:tcBorders/>
            <w:tcMar>
              <w:top w:w="0" w:type="dxa"/>
              <w:left w:w="0" w:type="dxa"/>
              <w:bottom w:w="0" w:type="dxa"/>
              <w:right w:w="0" w:type="dxa"/>
            </w:tcMar>
            <w:vAlign w:val="center"/>
          </w:tcPr>
          <w:p>
            <w:pPr>
              <w:pStyle w:val="TableContents"/>
              <w:bidi w:val="0"/>
              <w:spacing w:before="3" w:after="283"/>
              <w:ind w:left="0" w:right="0" w:firstLine="50"/>
              <w:jc w:val="left"/>
              <w:rPr>
                <w:rFonts w:ascii="sans-serif" w:hAnsi="sans-serif"/>
                <w:color w:val="000000"/>
                <w:sz w:val="20"/>
              </w:rPr>
            </w:pPr>
            <w:r>
              <w:rPr>
                <w:rFonts w:ascii="sans-serif" w:hAnsi="sans-serif"/>
                <w:color w:val="000000"/>
                <w:sz w:val="20"/>
              </w:rPr>
              <w:t>Subtotal</w:t>
            </w:r>
          </w:p>
        </w:tc>
        <w:tc>
          <w:tcPr>
            <w:tcW w:w="1456" w:type="dxa"/>
            <w:tcBorders>
              <w:bottom w:val="single" w:sz="4" w:space="0" w:color="000000"/>
            </w:tcBorders>
            <w:tcMar>
              <w:top w:w="0" w:type="dxa"/>
              <w:left w:w="0" w:type="dxa"/>
              <w:right w:w="0" w:type="dxa"/>
            </w:tcMar>
            <w:vAlign w:val="center"/>
          </w:tcPr>
          <w:p>
            <w:pPr>
              <w:pStyle w:val="TableContents"/>
              <w:bidi w:val="0"/>
              <w:spacing w:before="44" w:after="283"/>
              <w:jc w:val="right"/>
              <w:rPr>
                <w:rFonts w:ascii="sans-serif" w:hAnsi="sans-serif"/>
                <w:color w:val="000000"/>
                <w:sz w:val="20"/>
              </w:rPr>
            </w:pPr>
            <w:r>
              <w:rPr>
                <w:rFonts w:ascii="sans-serif" w:hAnsi="sans-serif"/>
                <w:color w:val="000000"/>
                <w:sz w:val="20"/>
              </w:rPr>
              <w:t>295,880,726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44" w:after="283"/>
              <w:ind w:left="0" w:right="0" w:firstLine="50"/>
              <w:jc w:val="right"/>
              <w:rPr>
                <w:rFonts w:ascii="sans-serif" w:hAnsi="sans-serif"/>
                <w:color w:val="000000"/>
                <w:sz w:val="20"/>
              </w:rPr>
            </w:pPr>
            <w:r>
              <w:rPr>
                <w:rFonts w:ascii="sans-serif" w:hAnsi="sans-serif"/>
                <w:color w:val="000000"/>
                <w:sz w:val="20"/>
              </w:rPr>
              <w:t>295,880,726</w:t>
            </w:r>
          </w:p>
        </w:tc>
      </w:tr>
      <w:tr>
        <w:trPr/>
        <w:tc>
          <w:tcPr>
            <w:tcW w:w="3231" w:type="dxa"/>
            <w:tcBorders/>
            <w:tcMar>
              <w:top w:w="0" w:type="dxa"/>
              <w:left w:w="0" w:type="dxa"/>
              <w:bottom w:w="0" w:type="dxa"/>
              <w:right w:w="0" w:type="dxa"/>
            </w:tcMar>
            <w:vAlign w:val="center"/>
          </w:tcPr>
          <w:p>
            <w:pPr>
              <w:pStyle w:val="TableContents"/>
              <w:bidi w:val="0"/>
              <w:spacing w:before="1" w:after="283"/>
              <w:ind w:left="0" w:right="0" w:firstLine="50"/>
              <w:jc w:val="left"/>
              <w:rPr>
                <w:rFonts w:ascii="sans-serif" w:hAnsi="sans-serif"/>
                <w:color w:val="000000"/>
                <w:sz w:val="20"/>
              </w:rPr>
            </w:pPr>
            <w:r>
              <w:rPr>
                <w:rFonts w:ascii="sans-serif" w:hAnsi="sans-serif"/>
                <w:color w:val="000000"/>
                <w:sz w:val="20"/>
              </w:rPr>
              <w:t>Less accumulated amortization</w:t>
            </w:r>
          </w:p>
        </w:tc>
        <w:tc>
          <w:tcPr>
            <w:tcW w:w="1456" w:type="dxa"/>
            <w:tcBorders>
              <w:bottom w:val="single" w:sz="4" w:space="0" w:color="000000"/>
            </w:tcBorders>
            <w:tcMar>
              <w:top w:w="0" w:type="dxa"/>
              <w:left w:w="0" w:type="dxa"/>
              <w:right w:w="0" w:type="dxa"/>
            </w:tcMar>
            <w:vAlign w:val="center"/>
          </w:tcPr>
          <w:p>
            <w:pPr>
              <w:pStyle w:val="TableContents"/>
              <w:bidi w:val="0"/>
              <w:spacing w:before="44" w:after="283"/>
              <w:jc w:val="right"/>
              <w:rPr>
                <w:rFonts w:ascii="sans-serif" w:hAnsi="sans-serif"/>
                <w:color w:val="000000"/>
                <w:sz w:val="20"/>
              </w:rPr>
            </w:pPr>
            <w:r>
              <w:rPr>
                <w:rFonts w:ascii="sans-serif" w:hAnsi="sans-serif"/>
                <w:color w:val="000000"/>
                <w:sz w:val="20"/>
              </w:rPr>
              <w:t>(183,511,500)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44" w:after="283"/>
              <w:jc w:val="right"/>
              <w:rPr>
                <w:rFonts w:ascii="sans-serif" w:hAnsi="sans-serif"/>
                <w:color w:val="000000"/>
                <w:sz w:val="20"/>
              </w:rPr>
            </w:pPr>
            <w:r>
              <w:rPr>
                <w:rFonts w:ascii="sans-serif" w:hAnsi="sans-serif"/>
                <w:color w:val="000000"/>
                <w:sz w:val="20"/>
              </w:rPr>
              <w:t>(169,288,408)</w:t>
            </w:r>
          </w:p>
        </w:tc>
      </w:tr>
      <w:tr>
        <w:trPr/>
        <w:tc>
          <w:tcPr>
            <w:tcW w:w="3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bottom w:val="double" w:sz="4" w:space="0" w:color="000000"/>
            </w:tcBorders>
            <w:tcMar>
              <w:top w:w="0" w:type="dxa"/>
              <w:left w:w="0" w:type="dxa"/>
              <w:right w:w="0" w:type="dxa"/>
            </w:tcMar>
            <w:vAlign w:val="center"/>
          </w:tcPr>
          <w:p>
            <w:pPr>
              <w:pStyle w:val="TableContents"/>
              <w:bidi w:val="0"/>
              <w:spacing w:before="49" w:after="283"/>
              <w:jc w:val="right"/>
              <w:rPr>
                <w:rFonts w:ascii="sans-serif" w:hAnsi="sans-serif"/>
                <w:color w:val="000000"/>
                <w:sz w:val="20"/>
              </w:rPr>
            </w:pPr>
            <w:r>
              <w:rPr>
                <w:rFonts w:ascii="sans-serif" w:hAnsi="sans-serif"/>
                <w:color w:val="000000"/>
                <w:sz w:val="20"/>
              </w:rPr>
              <w:t>$112,369,226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double" w:sz="4" w:space="0" w:color="000000"/>
            </w:tcBorders>
            <w:tcMar>
              <w:top w:w="0" w:type="dxa"/>
              <w:left w:w="0" w:type="dxa"/>
              <w:right w:w="0" w:type="dxa"/>
            </w:tcMar>
            <w:vAlign w:val="center"/>
          </w:tcPr>
          <w:p>
            <w:pPr>
              <w:pStyle w:val="TableContents"/>
              <w:bidi w:val="0"/>
              <w:spacing w:before="49" w:after="283"/>
              <w:jc w:val="right"/>
              <w:rPr>
                <w:rFonts w:ascii="sans-serif" w:hAnsi="sans-serif"/>
                <w:color w:val="000000"/>
                <w:sz w:val="20"/>
              </w:rPr>
            </w:pPr>
            <w:r>
              <w:rPr>
                <w:rFonts w:ascii="sans-serif" w:hAnsi="sans-serif"/>
                <w:color w:val="000000"/>
                <w:sz w:val="20"/>
              </w:rPr>
              <w:t>$126,592,318</w:t>
            </w:r>
          </w:p>
        </w:tc>
      </w:tr>
    </w:tbl>
    <w:p>
      <w:pPr>
        <w:pStyle w:val="TextBody"/>
        <w:bidi w:val="0"/>
        <w:jc w:val="left"/>
        <w:rPr/>
      </w:pPr>
      <w:r>
        <w:rPr/>
        <w:t>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0"/>
        </w:rPr>
      </w:pPr>
      <w:r>
        <w:rPr>
          <w:rFonts w:ascii="sans-serif" w:hAnsi="sans-serif"/>
          <w:color w:val="000000"/>
          <w:sz w:val="20"/>
        </w:rPr>
        <w:t>Total amortization expense for intangibles for the years ended December 31, 2025 and 2024, was $14,223,092 and</w:t>
      </w:r>
    </w:p>
    <w:p>
      <w:pPr>
        <w:pStyle w:val="TextBody"/>
        <w:bidi w:val="0"/>
        <w:jc w:val="both"/>
        <w:rPr>
          <w:rFonts w:ascii="sans-serif" w:hAnsi="sans-serif"/>
          <w:color w:val="000000"/>
          <w:sz w:val="20"/>
        </w:rPr>
      </w:pPr>
      <w:r>
        <w:rPr>
          <w:rFonts w:ascii="sans-serif" w:hAnsi="sans-serif"/>
          <w:color w:val="000000"/>
          <w:sz w:val="20"/>
        </w:rPr>
        <w:t>$15,473,314 respectively. As of December 31, 2025, expected amortization expense over the remaining intangible asset lives are as follows:</w:t>
      </w:r>
    </w:p>
    <w:p>
      <w:pPr>
        <w:pStyle w:val="TextBody"/>
        <w:bidi w:val="0"/>
        <w:jc w:val="left"/>
        <w:rPr/>
      </w:pPr>
      <w:r>
        <w:rPr/>
        <w:t> </w:t>
      </w:r>
    </w:p>
    <w:tbl>
      <w:tblPr>
        <w:tblW w:w="2662" w:type="dxa"/>
        <w:jc w:val="left"/>
        <w:tblInd w:w="0" w:type="dxa"/>
        <w:tblLayout w:type="fixed"/>
        <w:tblCellMar>
          <w:top w:w="28" w:type="dxa"/>
          <w:left w:w="28" w:type="dxa"/>
          <w:bottom w:w="28" w:type="dxa"/>
          <w:right w:w="28" w:type="dxa"/>
        </w:tblCellMar>
      </w:tblPr>
      <w:tblGrid>
        <w:gridCol w:w="1191"/>
        <w:gridCol w:w="1471"/>
      </w:tblGrid>
      <w:tr>
        <w:trPr/>
        <w:tc>
          <w:tcPr>
            <w:tcW w:w="11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191"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color w:val="000000"/>
                <w:sz w:val="20"/>
              </w:rPr>
            </w:pPr>
            <w:r>
              <w:rPr>
                <w:rFonts w:ascii="sans-serif" w:hAnsi="sans-serif"/>
                <w:color w:val="000000"/>
                <w:sz w:val="20"/>
              </w:rPr>
              <w:t>2026</w:t>
            </w:r>
          </w:p>
        </w:tc>
        <w:tc>
          <w:tcPr>
            <w:tcW w:w="1471" w:type="dxa"/>
            <w:tcBorders/>
            <w:tcMar>
              <w:top w:w="0" w:type="dxa"/>
              <w:left w:w="0" w:type="dxa"/>
              <w:bottom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$14,223,092</w:t>
            </w:r>
          </w:p>
        </w:tc>
      </w:tr>
      <w:tr>
        <w:trPr/>
        <w:tc>
          <w:tcPr>
            <w:tcW w:w="1191"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color w:val="000000"/>
                <w:sz w:val="20"/>
              </w:rPr>
            </w:pPr>
            <w:r>
              <w:rPr>
                <w:rFonts w:ascii="sans-serif" w:hAnsi="sans-serif"/>
                <w:color w:val="000000"/>
                <w:sz w:val="20"/>
              </w:rPr>
              <w:t>2027</w:t>
            </w:r>
          </w:p>
        </w:tc>
        <w:tc>
          <w:tcPr>
            <w:tcW w:w="1471" w:type="dxa"/>
            <w:tcBorders/>
            <w:tcMar>
              <w:top w:w="0" w:type="dxa"/>
              <w:left w:w="0" w:type="dxa"/>
              <w:bottom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14,223,092</w:t>
            </w:r>
          </w:p>
        </w:tc>
      </w:tr>
      <w:tr>
        <w:trPr/>
        <w:tc>
          <w:tcPr>
            <w:tcW w:w="1191"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color w:val="000000"/>
                <w:sz w:val="20"/>
              </w:rPr>
            </w:pPr>
            <w:r>
              <w:rPr>
                <w:rFonts w:ascii="sans-serif" w:hAnsi="sans-serif"/>
                <w:color w:val="000000"/>
                <w:sz w:val="20"/>
              </w:rPr>
              <w:t>2028</w:t>
            </w:r>
          </w:p>
        </w:tc>
        <w:tc>
          <w:tcPr>
            <w:tcW w:w="1471" w:type="dxa"/>
            <w:tcBorders/>
            <w:tcMar>
              <w:top w:w="0" w:type="dxa"/>
              <w:left w:w="0" w:type="dxa"/>
              <w:bottom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14,223,092</w:t>
            </w:r>
          </w:p>
        </w:tc>
      </w:tr>
      <w:tr>
        <w:trPr/>
        <w:tc>
          <w:tcPr>
            <w:tcW w:w="1191"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color w:val="000000"/>
                <w:sz w:val="20"/>
              </w:rPr>
            </w:pPr>
            <w:r>
              <w:rPr>
                <w:rFonts w:ascii="sans-serif" w:hAnsi="sans-serif"/>
                <w:color w:val="000000"/>
                <w:sz w:val="20"/>
              </w:rPr>
              <w:t>2029</w:t>
            </w:r>
          </w:p>
        </w:tc>
        <w:tc>
          <w:tcPr>
            <w:tcW w:w="1471" w:type="dxa"/>
            <w:tcBorders/>
            <w:tcMar>
              <w:top w:w="0" w:type="dxa"/>
              <w:left w:w="0" w:type="dxa"/>
              <w:bottom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12,300,000</w:t>
            </w:r>
          </w:p>
        </w:tc>
      </w:tr>
      <w:tr>
        <w:trPr/>
        <w:tc>
          <w:tcPr>
            <w:tcW w:w="1191"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color w:val="000000"/>
                <w:sz w:val="20"/>
              </w:rPr>
            </w:pPr>
            <w:r>
              <w:rPr>
                <w:rFonts w:ascii="sans-serif" w:hAnsi="sans-serif"/>
                <w:color w:val="000000"/>
                <w:sz w:val="20"/>
              </w:rPr>
              <w:t>Thereafter</w:t>
            </w:r>
          </w:p>
        </w:tc>
        <w:tc>
          <w:tcPr>
            <w:tcW w:w="14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57,399,950</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$112,369,226</w:t>
            </w:r>
          </w:p>
        </w:tc>
      </w:tr>
    </w:tbl>
    <w:p>
      <w:pPr>
        <w:pStyle w:val="TextBody"/>
        <w:bidi w:val="0"/>
        <w:spacing w:before="192" w:after="283"/>
        <w:jc w:val="left"/>
        <w:rPr>
          <w:rFonts w:ascii="sans-serif" w:hAnsi="sans-serif"/>
          <w:b/>
          <w:color w:val="000000"/>
          <w:sz w:val="20"/>
        </w:rPr>
      </w:pPr>
      <w:r>
        <w:rPr>
          <w:rFonts w:ascii="sans-serif" w:hAnsi="sans-serif"/>
          <w:b/>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92" w:after="283"/>
        <w:jc w:val="left"/>
        <w:rPr>
          <w:rFonts w:ascii="sans-serif" w:hAnsi="sans-serif"/>
          <w:b/>
          <w:color w:val="000000"/>
          <w:sz w:val="20"/>
        </w:rPr>
      </w:pPr>
      <w:r>
        <w:rPr>
          <w:rFonts w:ascii="sans-serif" w:hAnsi="sans-serif"/>
          <w:b/>
          <w:color w:val="000000"/>
          <w:sz w:val="20"/>
        </w:rPr>
        <w:t>LEASES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78" w:after="283"/>
        <w:jc w:val="both"/>
        <w:rPr>
          <w:rFonts w:ascii="sans-serif" w:hAnsi="sans-serif"/>
          <w:color w:val="000000"/>
          <w:sz w:val="20"/>
        </w:rPr>
      </w:pPr>
      <w:r>
        <w:rPr>
          <w:rFonts w:ascii="sans-serif" w:hAnsi="sans-serif"/>
          <w:color w:val="000000"/>
          <w:sz w:val="20"/>
        </w:rPr>
        <w:t>The Company leases certain real estate and equipment under various third-party operating and finance lease agreements. The leases are non-cancelable and expire on various terms through 2030. The Company does not have any leases that impose restrictions or covenants. The Company maintains security deposits totaling $80 and $76 as of December 31, 2025, and 2024, respectively, in conjunction with its current leases.</w:t>
      </w:r>
    </w:p>
    <w:p>
      <w:pPr>
        <w:pStyle w:val="TextBody"/>
        <w:bidi w:val="0"/>
        <w:spacing w:before="178" w:after="283"/>
        <w:jc w:val="both"/>
        <w:rPr>
          <w:rFonts w:ascii="sans-serif" w:hAnsi="sans-serif"/>
          <w:color w:val="000000"/>
          <w:sz w:val="20"/>
        </w:rPr>
      </w:pPr>
      <w:r>
        <w:rPr>
          <w:rFonts w:ascii="sans-serif" w:hAnsi="sans-serif"/>
          <w:color w:val="000000"/>
          <w:sz w:val="20"/>
        </w:rPr>
        <w:t>The following table presents the components of the Company’s lease cost and the classification of such costs in the Company’s combined and consolidated Statements of Operations for the years ended December 31, 2025, and 2024:</w:t>
      </w:r>
    </w:p>
    <w:p>
      <w:pPr>
        <w:pStyle w:val="TextBody"/>
        <w:bidi w:val="0"/>
        <w:spacing w:before="167" w:after="1"/>
        <w:jc w:val="left"/>
        <w:rPr/>
      </w:pPr>
      <w:r>
        <w:rPr/>
        <w:t> </w:t>
      </w:r>
    </w:p>
    <w:tbl>
      <w:tblPr>
        <w:tblW w:w="9580" w:type="dxa"/>
        <w:jc w:val="left"/>
        <w:tblInd w:w="0" w:type="dxa"/>
        <w:tblLayout w:type="fixed"/>
        <w:tblCellMar>
          <w:top w:w="28" w:type="dxa"/>
          <w:left w:w="28" w:type="dxa"/>
          <w:bottom w:w="28" w:type="dxa"/>
          <w:right w:w="28" w:type="dxa"/>
        </w:tblCellMar>
      </w:tblPr>
      <w:tblGrid>
        <w:gridCol w:w="3684"/>
        <w:gridCol w:w="3429"/>
        <w:gridCol w:w="1186"/>
        <w:gridCol w:w="1281"/>
      </w:tblGrid>
      <w:tr>
        <w:trPr/>
        <w:tc>
          <w:tcPr>
            <w:tcW w:w="3684" w:type="dxa"/>
            <w:tcBorders/>
            <w:vAlign w:val="center"/>
          </w:tcPr>
          <w:p>
            <w:pPr>
              <w:pStyle w:val="TableContents"/>
              <w:bidi w:val="0"/>
              <w:spacing w:before="0" w:after="283"/>
              <w:jc w:val="left"/>
              <w:rPr>
                <w:sz w:val="4"/>
                <w:szCs w:val="4"/>
              </w:rPr>
            </w:pPr>
            <w:r>
              <w:rPr>
                <w:sz w:val="4"/>
                <w:szCs w:val="4"/>
              </w:rPr>
            </w:r>
          </w:p>
        </w:tc>
        <w:tc>
          <w:tcPr>
            <w:tcW w:w="342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684" w:type="dxa"/>
            <w:tcBorders/>
            <w:tcMar>
              <w:top w:w="0" w:type="dxa"/>
              <w:left w:w="0" w:type="dxa"/>
              <w:bottom w:w="0" w:type="dxa"/>
              <w:right w:w="0" w:type="dxa"/>
            </w:tcMar>
            <w:vAlign w:val="center"/>
          </w:tcPr>
          <w:p>
            <w:pPr>
              <w:pStyle w:val="TableContents"/>
              <w:bidi w:val="0"/>
              <w:spacing w:before="227" w:after="283"/>
              <w:ind w:left="0" w:right="0" w:firstLine="317"/>
              <w:jc w:val="left"/>
              <w:rPr>
                <w:rFonts w:ascii="sans-serif" w:hAnsi="sans-serif"/>
                <w:b/>
                <w:color w:val="000000"/>
                <w:sz w:val="20"/>
              </w:rPr>
            </w:pPr>
            <w:r>
              <w:rPr>
                <w:rFonts w:ascii="sans-serif" w:hAnsi="sans-serif"/>
                <w:b/>
                <w:color w:val="000000"/>
                <w:sz w:val="20"/>
              </w:rPr>
              <w:t>Component of Lease Cost</w:t>
            </w:r>
          </w:p>
        </w:tc>
        <w:tc>
          <w:tcPr>
            <w:tcW w:w="3429" w:type="dxa"/>
            <w:tcBorders/>
            <w:tcMar>
              <w:top w:w="0" w:type="dxa"/>
              <w:left w:w="0" w:type="dxa"/>
              <w:bottom w:w="0" w:type="dxa"/>
              <w:right w:w="0" w:type="dxa"/>
            </w:tcMar>
            <w:vAlign w:val="center"/>
          </w:tcPr>
          <w:p>
            <w:pPr>
              <w:pStyle w:val="TableContents"/>
              <w:bidi w:val="0"/>
              <w:ind w:left="0" w:right="0" w:firstLine="317"/>
              <w:jc w:val="left"/>
              <w:rPr>
                <w:rFonts w:ascii="sans-serif" w:hAnsi="sans-serif"/>
                <w:b/>
                <w:color w:val="000000"/>
                <w:sz w:val="20"/>
              </w:rPr>
            </w:pPr>
            <w:r>
              <w:rPr>
                <w:rFonts w:ascii="sans-serif" w:hAnsi="sans-serif"/>
                <w:b/>
                <w:color w:val="000000"/>
                <w:sz w:val="20"/>
              </w:rPr>
              <w:t>Statements of Operations</w:t>
            </w:r>
          </w:p>
          <w:p>
            <w:pPr>
              <w:pStyle w:val="TableContents"/>
              <w:bidi w:val="0"/>
              <w:spacing w:before="46" w:after="283"/>
              <w:ind w:left="0" w:right="0" w:firstLine="49"/>
              <w:jc w:val="left"/>
              <w:rPr>
                <w:rFonts w:ascii="sans-serif" w:hAnsi="sans-serif"/>
                <w:b/>
                <w:color w:val="000000"/>
                <w:sz w:val="20"/>
              </w:rPr>
            </w:pPr>
            <w:r>
              <w:rPr>
                <w:rFonts w:ascii="sans-serif" w:hAnsi="sans-serif"/>
                <w:b/>
                <w:color w:val="000000"/>
                <w:sz w:val="20"/>
              </w:rPr>
              <w:t>Line Item(s)</w:t>
            </w:r>
          </w:p>
        </w:tc>
        <w:tc>
          <w:tcPr>
            <w:tcW w:w="1186" w:type="dxa"/>
            <w:tcBorders/>
            <w:tcMar>
              <w:top w:w="0" w:type="dxa"/>
              <w:left w:w="0" w:type="dxa"/>
              <w:bottom w:w="0" w:type="dxa"/>
              <w:right w:w="0" w:type="dxa"/>
            </w:tcMar>
            <w:vAlign w:val="center"/>
          </w:tcPr>
          <w:p>
            <w:pPr>
              <w:pStyle w:val="TableContents"/>
              <w:bidi w:val="0"/>
              <w:spacing w:before="227" w:after="283"/>
              <w:ind w:left="0" w:right="0" w:firstLine="49"/>
              <w:jc w:val="center"/>
              <w:rPr>
                <w:rFonts w:ascii="sans-serif" w:hAnsi="sans-serif"/>
                <w:b/>
                <w:color w:val="000000"/>
                <w:sz w:val="20"/>
              </w:rPr>
            </w:pPr>
            <w:r>
              <w:rPr>
                <w:rFonts w:ascii="sans-serif" w:hAnsi="sans-serif"/>
                <w:b/>
                <w:color w:val="000000"/>
                <w:sz w:val="20"/>
              </w:rPr>
              <w:t>2025</w:t>
            </w:r>
          </w:p>
        </w:tc>
        <w:tc>
          <w:tcPr>
            <w:tcW w:w="1281" w:type="dxa"/>
            <w:tcBorders/>
            <w:tcMar>
              <w:top w:w="0" w:type="dxa"/>
              <w:left w:w="0" w:type="dxa"/>
              <w:bottom w:w="0" w:type="dxa"/>
              <w:right w:w="0" w:type="dxa"/>
            </w:tcMar>
            <w:vAlign w:val="center"/>
          </w:tcPr>
          <w:p>
            <w:pPr>
              <w:pStyle w:val="TableContents"/>
              <w:bidi w:val="0"/>
              <w:spacing w:before="227" w:after="283"/>
              <w:ind w:left="0" w:right="0" w:firstLine="57"/>
              <w:jc w:val="center"/>
              <w:rPr>
                <w:rFonts w:ascii="sans-serif" w:hAnsi="sans-serif"/>
                <w:b/>
                <w:color w:val="000000"/>
                <w:sz w:val="20"/>
              </w:rPr>
            </w:pPr>
            <w:r>
              <w:rPr>
                <w:rFonts w:ascii="sans-serif" w:hAnsi="sans-serif"/>
                <w:b/>
                <w:color w:val="000000"/>
                <w:sz w:val="20"/>
              </w:rPr>
              <w:t>2024</w:t>
            </w:r>
          </w:p>
        </w:tc>
      </w:tr>
      <w:tr>
        <w:trPr/>
        <w:tc>
          <w:tcPr>
            <w:tcW w:w="3684" w:type="dxa"/>
            <w:tcBorders/>
            <w:tcMar>
              <w:top w:w="0" w:type="dxa"/>
              <w:left w:w="0" w:type="dxa"/>
              <w:bottom w:w="0" w:type="dxa"/>
              <w:right w:w="0" w:type="dxa"/>
            </w:tcMar>
            <w:vAlign w:val="center"/>
          </w:tcPr>
          <w:p>
            <w:pPr>
              <w:pStyle w:val="TableContents"/>
              <w:bidi w:val="0"/>
              <w:spacing w:before="1" w:after="283"/>
              <w:ind w:left="0" w:right="0" w:firstLine="653"/>
              <w:jc w:val="left"/>
              <w:rPr>
                <w:rFonts w:ascii="sans-serif" w:hAnsi="sans-serif"/>
                <w:color w:val="000000"/>
                <w:sz w:val="20"/>
              </w:rPr>
            </w:pPr>
            <w:r>
              <w:rPr>
                <w:rFonts w:ascii="sans-serif" w:hAnsi="sans-serif"/>
                <w:color w:val="000000"/>
                <w:sz w:val="20"/>
              </w:rPr>
              <w:t>Operating lease cost</w:t>
            </w:r>
          </w:p>
        </w:tc>
        <w:tc>
          <w:tcPr>
            <w:tcW w:w="3429" w:type="dxa"/>
            <w:tcBorders/>
            <w:tcMar>
              <w:top w:w="0" w:type="dxa"/>
              <w:left w:w="0" w:type="dxa"/>
              <w:bottom w:w="0" w:type="dxa"/>
              <w:right w:w="0" w:type="dxa"/>
            </w:tcMar>
            <w:vAlign w:val="center"/>
          </w:tcPr>
          <w:p>
            <w:pPr>
              <w:pStyle w:val="TableContents"/>
              <w:bidi w:val="0"/>
              <w:spacing w:before="1" w:after="283"/>
              <w:ind w:left="0" w:right="0" w:firstLine="653"/>
              <w:jc w:val="left"/>
              <w:rPr>
                <w:rFonts w:ascii="sans-serif" w:hAnsi="sans-serif"/>
                <w:color w:val="000000"/>
                <w:sz w:val="20"/>
              </w:rPr>
            </w:pPr>
            <w:r>
              <w:rPr>
                <w:rFonts w:ascii="sans-serif" w:hAnsi="sans-serif"/>
                <w:color w:val="000000"/>
                <w:sz w:val="20"/>
              </w:rPr>
              <w:t>General and administrative</w:t>
            </w:r>
          </w:p>
        </w:tc>
        <w:tc>
          <w:tcPr>
            <w:tcW w:w="1186" w:type="dxa"/>
            <w:tcBorders/>
            <w:tcMar>
              <w:top w:w="0" w:type="dxa"/>
              <w:left w:w="0" w:type="dxa"/>
              <w:bottom w:w="0" w:type="dxa"/>
              <w:right w:w="0" w:type="dxa"/>
            </w:tcMar>
            <w:vAlign w:val="center"/>
          </w:tcPr>
          <w:p>
            <w:pPr>
              <w:pStyle w:val="TableContents"/>
              <w:bidi w:val="0"/>
              <w:spacing w:before="125" w:after="283"/>
              <w:jc w:val="right"/>
              <w:rPr>
                <w:rFonts w:ascii="sans-serif" w:hAnsi="sans-serif"/>
                <w:color w:val="000000"/>
                <w:sz w:val="20"/>
              </w:rPr>
            </w:pPr>
            <w:r>
              <w:rPr>
                <w:rFonts w:ascii="sans-serif" w:hAnsi="sans-serif"/>
                <w:color w:val="000000"/>
                <w:sz w:val="20"/>
              </w:rPr>
              <w:t>$4,223,013</w:t>
            </w:r>
          </w:p>
        </w:tc>
        <w:tc>
          <w:tcPr>
            <w:tcW w:w="1281" w:type="dxa"/>
            <w:tcBorders/>
            <w:tcMar>
              <w:top w:w="0" w:type="dxa"/>
              <w:left w:w="0" w:type="dxa"/>
              <w:bottom w:w="0" w:type="dxa"/>
              <w:right w:w="0" w:type="dxa"/>
            </w:tcMar>
            <w:vAlign w:val="center"/>
          </w:tcPr>
          <w:p>
            <w:pPr>
              <w:pStyle w:val="TableContents"/>
              <w:bidi w:val="0"/>
              <w:spacing w:before="125" w:after="283"/>
              <w:ind w:left="0" w:right="0" w:firstLine="50"/>
              <w:jc w:val="right"/>
              <w:rPr>
                <w:rFonts w:ascii="sans-serif" w:hAnsi="sans-serif"/>
                <w:color w:val="000000"/>
                <w:sz w:val="20"/>
              </w:rPr>
            </w:pPr>
            <w:r>
              <w:rPr>
                <w:rFonts w:ascii="sans-serif" w:hAnsi="sans-serif"/>
                <w:color w:val="000000"/>
                <w:sz w:val="20"/>
              </w:rPr>
              <w:t>$3,877,017</w:t>
            </w:r>
          </w:p>
        </w:tc>
      </w:tr>
      <w:tr>
        <w:trPr/>
        <w:tc>
          <w:tcPr>
            <w:tcW w:w="3684"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color w:val="000000"/>
                <w:sz w:val="20"/>
              </w:rPr>
            </w:pPr>
            <w:r>
              <w:rPr>
                <w:rFonts w:ascii="sans-serif" w:hAnsi="sans-serif"/>
                <w:color w:val="000000"/>
                <w:sz w:val="20"/>
              </w:rPr>
              <w:t>Finance lease expense:</w:t>
            </w:r>
          </w:p>
        </w:tc>
        <w:tc>
          <w:tcPr>
            <w:tcW w:w="3429"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tcMar>
              <w:top w:w="0" w:type="dxa"/>
              <w:left w:w="0" w:type="dxa"/>
              <w:bottom w:w="0" w:type="dxa"/>
              <w:right w:w="0" w:type="dxa"/>
            </w:tcMar>
            <w:vAlign w:val="center"/>
          </w:tcPr>
          <w:p>
            <w:pPr>
              <w:pStyle w:val="TableContents"/>
              <w:bidi w:val="0"/>
              <w:spacing w:before="0" w:after="283"/>
              <w:ind w:left="0" w:right="0" w:firstLine="157"/>
              <w:jc w:val="left"/>
              <w:rPr/>
            </w:pPr>
            <w:r>
              <w:rPr/>
              <w:t> </w:t>
            </w:r>
          </w:p>
        </w:tc>
      </w:tr>
      <w:tr>
        <w:trPr/>
        <w:tc>
          <w:tcPr>
            <w:tcW w:w="3684" w:type="dxa"/>
            <w:tcBorders/>
            <w:tcMar>
              <w:top w:w="0" w:type="dxa"/>
              <w:left w:w="0" w:type="dxa"/>
              <w:bottom w:w="0" w:type="dxa"/>
              <w:right w:w="0" w:type="dxa"/>
            </w:tcMar>
            <w:vAlign w:val="center"/>
          </w:tcPr>
          <w:p>
            <w:pPr>
              <w:pStyle w:val="TableContents"/>
              <w:bidi w:val="0"/>
              <w:spacing w:before="13" w:after="283"/>
              <w:ind w:left="0" w:right="0" w:firstLine="653"/>
              <w:jc w:val="left"/>
              <w:rPr>
                <w:rFonts w:ascii="sans-serif" w:hAnsi="sans-serif"/>
                <w:color w:val="000000"/>
                <w:sz w:val="20"/>
              </w:rPr>
            </w:pPr>
            <w:r>
              <w:rPr>
                <w:rFonts w:ascii="sans-serif" w:hAnsi="sans-serif"/>
                <w:color w:val="000000"/>
                <w:sz w:val="20"/>
              </w:rPr>
              <w:t>Amortization of leased assets</w:t>
            </w:r>
          </w:p>
        </w:tc>
        <w:tc>
          <w:tcPr>
            <w:tcW w:w="3429" w:type="dxa"/>
            <w:tcBorders/>
            <w:tcMar>
              <w:top w:w="0" w:type="dxa"/>
              <w:left w:w="0" w:type="dxa"/>
              <w:bottom w:w="0" w:type="dxa"/>
              <w:right w:w="0" w:type="dxa"/>
            </w:tcMar>
            <w:vAlign w:val="center"/>
          </w:tcPr>
          <w:p>
            <w:pPr>
              <w:pStyle w:val="TableContents"/>
              <w:bidi w:val="0"/>
              <w:spacing w:before="13" w:after="283"/>
              <w:ind w:left="0" w:right="0" w:firstLine="653"/>
              <w:jc w:val="left"/>
              <w:rPr>
                <w:rFonts w:ascii="sans-serif" w:hAnsi="sans-serif"/>
                <w:color w:val="000000"/>
                <w:sz w:val="20"/>
              </w:rPr>
            </w:pPr>
            <w:r>
              <w:rPr>
                <w:rFonts w:ascii="sans-serif" w:hAnsi="sans-serif"/>
                <w:color w:val="000000"/>
                <w:sz w:val="20"/>
              </w:rPr>
              <w:t>Cost of sales</w:t>
            </w:r>
          </w:p>
        </w:tc>
        <w:tc>
          <w:tcPr>
            <w:tcW w:w="1186" w:type="dxa"/>
            <w:tcBorders/>
            <w:tcMar>
              <w:top w:w="0" w:type="dxa"/>
              <w:left w:w="0" w:type="dxa"/>
              <w:bottom w:w="0" w:type="dxa"/>
              <w:right w:w="0" w:type="dxa"/>
            </w:tcMar>
            <w:vAlign w:val="center"/>
          </w:tcPr>
          <w:p>
            <w:pPr>
              <w:pStyle w:val="TableContents"/>
              <w:bidi w:val="0"/>
              <w:spacing w:before="5" w:after="283"/>
              <w:jc w:val="right"/>
              <w:rPr>
                <w:rFonts w:ascii="sans-serif" w:hAnsi="sans-serif"/>
                <w:color w:val="000000"/>
                <w:sz w:val="20"/>
              </w:rPr>
            </w:pPr>
            <w:r>
              <w:rPr>
                <w:rFonts w:ascii="sans-serif" w:hAnsi="sans-serif"/>
                <w:color w:val="000000"/>
                <w:sz w:val="20"/>
              </w:rPr>
              <w:t>882,102</w:t>
            </w:r>
          </w:p>
        </w:tc>
        <w:tc>
          <w:tcPr>
            <w:tcW w:w="1281" w:type="dxa"/>
            <w:tcBorders/>
            <w:tcMar>
              <w:top w:w="0" w:type="dxa"/>
              <w:left w:w="0" w:type="dxa"/>
              <w:bottom w:w="0" w:type="dxa"/>
              <w:right w:w="0" w:type="dxa"/>
            </w:tcMar>
            <w:vAlign w:val="center"/>
          </w:tcPr>
          <w:p>
            <w:pPr>
              <w:pStyle w:val="TableContents"/>
              <w:bidi w:val="0"/>
              <w:spacing w:before="5" w:after="283"/>
              <w:ind w:left="0" w:right="0" w:firstLine="150"/>
              <w:jc w:val="right"/>
              <w:rPr>
                <w:rFonts w:ascii="sans-serif" w:hAnsi="sans-serif"/>
                <w:color w:val="000000"/>
                <w:sz w:val="20"/>
              </w:rPr>
            </w:pPr>
            <w:r>
              <w:rPr>
                <w:rFonts w:ascii="sans-serif" w:hAnsi="sans-serif"/>
                <w:color w:val="000000"/>
                <w:sz w:val="20"/>
              </w:rPr>
              <w:t>1,249,300</w:t>
            </w:r>
          </w:p>
        </w:tc>
      </w:tr>
      <w:tr>
        <w:trPr/>
        <w:tc>
          <w:tcPr>
            <w:tcW w:w="3684" w:type="dxa"/>
            <w:tcBorders/>
            <w:tcMar>
              <w:top w:w="0" w:type="dxa"/>
              <w:left w:w="0" w:type="dxa"/>
              <w:bottom w:w="0" w:type="dxa"/>
              <w:right w:w="0" w:type="dxa"/>
            </w:tcMar>
            <w:vAlign w:val="center"/>
          </w:tcPr>
          <w:p>
            <w:pPr>
              <w:pStyle w:val="TableContents"/>
              <w:bidi w:val="0"/>
              <w:spacing w:before="1" w:after="283"/>
              <w:ind w:left="0" w:right="0" w:firstLine="646"/>
              <w:jc w:val="left"/>
              <w:rPr>
                <w:rFonts w:ascii="sans-serif" w:hAnsi="sans-serif"/>
                <w:color w:val="000000"/>
                <w:sz w:val="20"/>
              </w:rPr>
            </w:pPr>
            <w:r>
              <w:rPr>
                <w:rFonts w:ascii="sans-serif" w:hAnsi="sans-serif"/>
                <w:color w:val="000000"/>
                <w:sz w:val="20"/>
              </w:rPr>
              <w:t>Interest on lease liabilities</w:t>
            </w:r>
          </w:p>
        </w:tc>
        <w:tc>
          <w:tcPr>
            <w:tcW w:w="3429" w:type="dxa"/>
            <w:tcBorders/>
            <w:tcMar>
              <w:top w:w="0" w:type="dxa"/>
              <w:left w:w="0" w:type="dxa"/>
              <w:bottom w:w="0" w:type="dxa"/>
              <w:right w:w="0" w:type="dxa"/>
            </w:tcMar>
            <w:vAlign w:val="center"/>
          </w:tcPr>
          <w:p>
            <w:pPr>
              <w:pStyle w:val="TableContents"/>
              <w:bidi w:val="0"/>
              <w:spacing w:before="1" w:after="283"/>
              <w:ind w:left="0" w:right="0" w:firstLine="646"/>
              <w:jc w:val="left"/>
              <w:rPr>
                <w:rFonts w:ascii="sans-serif" w:hAnsi="sans-serif"/>
                <w:color w:val="000000"/>
                <w:sz w:val="20"/>
              </w:rPr>
            </w:pPr>
            <w:r>
              <w:rPr>
                <w:rFonts w:ascii="sans-serif" w:hAnsi="sans-serif"/>
                <w:color w:val="000000"/>
                <w:sz w:val="20"/>
              </w:rPr>
              <w:t>Interest expense</w:t>
            </w:r>
          </w:p>
        </w:tc>
        <w:tc>
          <w:tcPr>
            <w:tcW w:w="1186" w:type="dxa"/>
            <w:tcBorders/>
            <w:tcMar>
              <w:top w:w="0" w:type="dxa"/>
              <w:left w:w="0" w:type="dxa"/>
              <w:bottom w:w="0" w:type="dxa"/>
              <w:right w:w="0" w:type="dxa"/>
            </w:tcMar>
            <w:vAlign w:val="center"/>
          </w:tcPr>
          <w:p>
            <w:pPr>
              <w:pStyle w:val="TableContents"/>
              <w:bidi w:val="0"/>
              <w:spacing w:before="1" w:after="283"/>
              <w:jc w:val="right"/>
              <w:rPr>
                <w:rFonts w:ascii="sans-serif" w:hAnsi="sans-serif"/>
                <w:color w:val="000000"/>
                <w:sz w:val="20"/>
              </w:rPr>
            </w:pPr>
            <w:r>
              <w:rPr>
                <w:rFonts w:ascii="sans-serif" w:hAnsi="sans-serif"/>
                <w:color w:val="000000"/>
                <w:sz w:val="20"/>
              </w:rPr>
              <w:t>83,648</w:t>
            </w:r>
          </w:p>
        </w:tc>
        <w:tc>
          <w:tcPr>
            <w:tcW w:w="1281" w:type="dxa"/>
            <w:tcBorders/>
            <w:tcMar>
              <w:top w:w="0" w:type="dxa"/>
              <w:left w:w="0" w:type="dxa"/>
              <w:bottom w:w="0" w:type="dxa"/>
              <w:right w:w="0" w:type="dxa"/>
            </w:tcMar>
            <w:vAlign w:val="center"/>
          </w:tcPr>
          <w:p>
            <w:pPr>
              <w:pStyle w:val="TableContents"/>
              <w:bidi w:val="0"/>
              <w:spacing w:before="1" w:after="283"/>
              <w:ind w:left="0" w:right="0" w:firstLine="50"/>
              <w:jc w:val="right"/>
              <w:rPr>
                <w:rFonts w:ascii="sans-serif" w:hAnsi="sans-serif"/>
                <w:color w:val="000000"/>
                <w:sz w:val="20"/>
              </w:rPr>
            </w:pPr>
            <w:r>
              <w:rPr>
                <w:rFonts w:ascii="sans-serif" w:hAnsi="sans-serif"/>
                <w:color w:val="000000"/>
                <w:sz w:val="20"/>
              </w:rPr>
              <w:t>57,413</w:t>
            </w:r>
          </w:p>
        </w:tc>
      </w:tr>
      <w:tr>
        <w:trPr/>
        <w:tc>
          <w:tcPr>
            <w:tcW w:w="3684" w:type="dxa"/>
            <w:tcBorders/>
            <w:tcMar>
              <w:top w:w="0" w:type="dxa"/>
              <w:left w:w="0" w:type="dxa"/>
              <w:bottom w:w="0" w:type="dxa"/>
              <w:right w:w="0" w:type="dxa"/>
            </w:tcMar>
            <w:vAlign w:val="center"/>
          </w:tcPr>
          <w:p>
            <w:pPr>
              <w:pStyle w:val="TableContents"/>
              <w:bidi w:val="0"/>
              <w:spacing w:before="0" w:after="283"/>
              <w:ind w:left="0" w:right="0" w:firstLine="646"/>
              <w:jc w:val="left"/>
              <w:rPr>
                <w:rFonts w:ascii="sans-serif" w:hAnsi="sans-serif"/>
                <w:color w:val="000000"/>
                <w:sz w:val="20"/>
              </w:rPr>
            </w:pPr>
            <w:r>
              <w:rPr>
                <w:rFonts w:ascii="sans-serif" w:hAnsi="sans-serif"/>
                <w:color w:val="000000"/>
                <w:sz w:val="20"/>
              </w:rPr>
              <w:t>Short-term lease cost</w:t>
            </w:r>
          </w:p>
        </w:tc>
        <w:tc>
          <w:tcPr>
            <w:tcW w:w="3429" w:type="dxa"/>
            <w:tcBorders/>
            <w:tcMar>
              <w:top w:w="0" w:type="dxa"/>
              <w:left w:w="0" w:type="dxa"/>
              <w:bottom w:w="0" w:type="dxa"/>
              <w:right w:w="0" w:type="dxa"/>
            </w:tcMar>
            <w:vAlign w:val="center"/>
          </w:tcPr>
          <w:p>
            <w:pPr>
              <w:pStyle w:val="TableContents"/>
              <w:bidi w:val="0"/>
              <w:spacing w:before="0" w:after="283"/>
              <w:ind w:left="0" w:right="0" w:firstLine="646"/>
              <w:jc w:val="left"/>
              <w:rPr>
                <w:rFonts w:ascii="sans-serif" w:hAnsi="sans-serif"/>
                <w:color w:val="000000"/>
                <w:sz w:val="20"/>
              </w:rPr>
            </w:pPr>
            <w:r>
              <w:rPr>
                <w:rFonts w:ascii="sans-serif" w:hAnsi="sans-serif"/>
                <w:color w:val="000000"/>
                <w:sz w:val="20"/>
              </w:rPr>
              <w:t>General and administrative</w:t>
            </w:r>
          </w:p>
        </w:tc>
        <w:tc>
          <w:tcPr>
            <w:tcW w:w="1186" w:type="dxa"/>
            <w:tcBorders/>
            <w:tcMar>
              <w:top w:w="0" w:type="dxa"/>
              <w:left w:w="0" w:type="dxa"/>
              <w:bottom w:w="0" w:type="dxa"/>
              <w:right w:w="0" w:type="dxa"/>
            </w:tcMar>
            <w:vAlign w:val="center"/>
          </w:tcPr>
          <w:p>
            <w:pPr>
              <w:pStyle w:val="TableContents"/>
              <w:bidi w:val="0"/>
              <w:spacing w:before="115" w:after="283"/>
              <w:jc w:val="right"/>
              <w:rPr>
                <w:rFonts w:ascii="sans-serif" w:hAnsi="sans-serif"/>
                <w:color w:val="000000"/>
                <w:sz w:val="20"/>
              </w:rPr>
            </w:pPr>
            <w:r>
              <w:rPr>
                <w:rFonts w:ascii="sans-serif" w:hAnsi="sans-serif"/>
                <w:color w:val="000000"/>
                <w:sz w:val="20"/>
              </w:rPr>
              <w:t>249,618</w:t>
            </w:r>
          </w:p>
        </w:tc>
        <w:tc>
          <w:tcPr>
            <w:tcW w:w="1281" w:type="dxa"/>
            <w:tcBorders/>
            <w:tcMar>
              <w:top w:w="0" w:type="dxa"/>
              <w:left w:w="0" w:type="dxa"/>
              <w:bottom w:w="0" w:type="dxa"/>
              <w:right w:w="0" w:type="dxa"/>
            </w:tcMar>
            <w:vAlign w:val="center"/>
          </w:tcPr>
          <w:p>
            <w:pPr>
              <w:pStyle w:val="TableContents"/>
              <w:bidi w:val="0"/>
              <w:spacing w:before="115" w:after="283"/>
              <w:ind w:left="0" w:right="0" w:firstLine="50"/>
              <w:jc w:val="right"/>
              <w:rPr>
                <w:rFonts w:ascii="sans-serif" w:hAnsi="sans-serif"/>
                <w:color w:val="000000"/>
                <w:sz w:val="20"/>
              </w:rPr>
            </w:pPr>
            <w:r>
              <w:rPr>
                <w:rFonts w:ascii="sans-serif" w:hAnsi="sans-serif"/>
                <w:color w:val="000000"/>
                <w:sz w:val="20"/>
              </w:rPr>
              <w:t>249,189</w:t>
            </w:r>
          </w:p>
        </w:tc>
      </w:tr>
      <w:tr>
        <w:trPr/>
        <w:tc>
          <w:tcPr>
            <w:tcW w:w="3684"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color w:val="000000"/>
                <w:sz w:val="20"/>
              </w:rPr>
            </w:pPr>
            <w:r>
              <w:rPr>
                <w:rFonts w:ascii="sans-serif" w:hAnsi="sans-serif"/>
                <w:color w:val="000000"/>
                <w:sz w:val="20"/>
              </w:rPr>
              <w:t>Total lease expense</w:t>
            </w:r>
          </w:p>
        </w:tc>
        <w:tc>
          <w:tcPr>
            <w:tcW w:w="3429"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$5,438,381</w:t>
            </w:r>
          </w:p>
        </w:tc>
        <w:tc>
          <w:tcPr>
            <w:tcW w:w="128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$5,432,919</w:t>
            </w:r>
          </w:p>
        </w:tc>
      </w:tr>
    </w:tbl>
    <w:p>
      <w:pPr>
        <w:pStyle w:val="TextBody"/>
        <w:bidi w:val="0"/>
        <w:jc w:val="left"/>
        <w:rPr/>
      </w:pPr>
      <w:r>
        <w:rPr/>
        <w:t> </w:t>
      </w:r>
    </w:p>
    <w:p>
      <w:pPr>
        <w:pStyle w:val="TextBody"/>
        <w:bidi w:val="0"/>
        <w:spacing w:before="41" w:after="283"/>
        <w:jc w:val="left"/>
        <w:rPr>
          <w:rFonts w:ascii="sans-serif" w:hAnsi="sans-serif"/>
          <w:color w:val="000000"/>
          <w:sz w:val="20"/>
        </w:rPr>
      </w:pPr>
      <w:r>
        <w:rPr>
          <w:rFonts w:ascii="sans-serif" w:hAnsi="sans-serif"/>
          <w:color w:val="000000"/>
          <w:sz w:val="20"/>
        </w:rPr>
        <w:t>The following table discloses the supplemental cash flow information related to leases for the years ended December 31, 2025, and 2024, are as follows:</w:t>
      </w:r>
    </w:p>
    <w:p>
      <w:pPr>
        <w:pStyle w:val="TextBody"/>
        <w:bidi w:val="0"/>
        <w:spacing w:before="10" w:after="283"/>
        <w:jc w:val="left"/>
        <w:rPr/>
      </w:pPr>
      <w:r>
        <w:rPr/>
        <w:t> </w:t>
      </w:r>
    </w:p>
    <w:tbl>
      <w:tblPr>
        <w:tblW w:w="7064" w:type="dxa"/>
        <w:jc w:val="left"/>
        <w:tblInd w:w="0" w:type="dxa"/>
        <w:tblLayout w:type="fixed"/>
        <w:tblCellMar>
          <w:top w:w="28" w:type="dxa"/>
          <w:left w:w="28" w:type="dxa"/>
          <w:bottom w:w="28" w:type="dxa"/>
          <w:right w:w="28" w:type="dxa"/>
        </w:tblCellMar>
      </w:tblPr>
      <w:tblGrid>
        <w:gridCol w:w="4416"/>
        <w:gridCol w:w="1186"/>
        <w:gridCol w:w="181"/>
        <w:gridCol w:w="1281"/>
      </w:tblGrid>
      <w:tr>
        <w:trPr/>
        <w:tc>
          <w:tcPr>
            <w:tcW w:w="441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4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tcMar>
              <w:top w:w="0" w:type="dxa"/>
              <w:left w:w="0" w:type="dxa"/>
              <w:bottom w:w="0" w:type="dxa"/>
              <w:right w:w="0" w:type="dxa"/>
            </w:tcMar>
            <w:vAlign w:val="center"/>
          </w:tcPr>
          <w:p>
            <w:pPr>
              <w:pStyle w:val="TableContents"/>
              <w:bidi w:val="0"/>
              <w:spacing w:before="0" w:after="283"/>
              <w:ind w:left="0" w:right="0" w:firstLine="35"/>
              <w:jc w:val="left"/>
              <w:rPr/>
            </w:pPr>
            <w:r>
              <w:rPr/>
              <w:t> </w:t>
            </w:r>
          </w:p>
        </w:tc>
        <w:tc>
          <w:tcPr>
            <w:tcW w:w="1281" w:type="dxa"/>
            <w:tcBorders/>
            <w:tcMar>
              <w:top w:w="0" w:type="dxa"/>
              <w:left w:w="0" w:type="dxa"/>
              <w:bottom w:w="0" w:type="dxa"/>
              <w:right w:w="0" w:type="dxa"/>
            </w:tcMar>
            <w:vAlign w:val="center"/>
          </w:tcPr>
          <w:p>
            <w:pPr>
              <w:pStyle w:val="TableContents"/>
              <w:bidi w:val="0"/>
              <w:spacing w:before="0" w:after="283"/>
              <w:ind w:left="0" w:right="0" w:firstLine="50"/>
              <w:jc w:val="center"/>
              <w:rPr>
                <w:rFonts w:ascii="sans-serif" w:hAnsi="sans-serif"/>
                <w:b/>
                <w:color w:val="000000"/>
                <w:sz w:val="20"/>
              </w:rPr>
            </w:pPr>
            <w:r>
              <w:rPr>
                <w:rFonts w:ascii="sans-serif" w:hAnsi="sans-serif"/>
                <w:b/>
                <w:color w:val="000000"/>
                <w:sz w:val="20"/>
              </w:rPr>
              <w:t>2024</w:t>
            </w:r>
          </w:p>
        </w:tc>
      </w:tr>
      <w:tr>
        <w:trPr/>
        <w:tc>
          <w:tcPr>
            <w:tcW w:w="4416" w:type="dxa"/>
            <w:tcBorders/>
            <w:tcMar>
              <w:top w:w="0" w:type="dxa"/>
              <w:left w:w="0" w:type="dxa"/>
              <w:bottom w:w="0" w:type="dxa"/>
              <w:right w:w="0" w:type="dxa"/>
            </w:tcMar>
            <w:vAlign w:val="center"/>
          </w:tcPr>
          <w:p>
            <w:pPr>
              <w:pStyle w:val="TableContents"/>
              <w:bidi w:val="0"/>
              <w:spacing w:before="25" w:after="283"/>
              <w:ind w:left="0" w:right="0" w:firstLine="50"/>
              <w:jc w:val="left"/>
              <w:rPr>
                <w:rFonts w:ascii="sans-serif" w:hAnsi="sans-serif"/>
                <w:color w:val="000000"/>
                <w:sz w:val="20"/>
              </w:rPr>
            </w:pPr>
            <w:r>
              <w:rPr>
                <w:rFonts w:ascii="sans-serif" w:hAnsi="sans-serif"/>
                <w:color w:val="000000"/>
                <w:sz w:val="20"/>
              </w:rPr>
              <w:t>Operating cash flows from operating leases</w:t>
            </w:r>
          </w:p>
        </w:tc>
        <w:tc>
          <w:tcPr>
            <w:tcW w:w="1186" w:type="dxa"/>
            <w:tcBorders/>
            <w:tcMar>
              <w:top w:w="0" w:type="dxa"/>
              <w:left w:w="0" w:type="dxa"/>
              <w:bottom w:w="0" w:type="dxa"/>
              <w:right w:w="0" w:type="dxa"/>
            </w:tcMar>
            <w:vAlign w:val="center"/>
          </w:tcPr>
          <w:p>
            <w:pPr>
              <w:pStyle w:val="TableContents"/>
              <w:bidi w:val="0"/>
              <w:spacing w:before="34" w:after="283"/>
              <w:jc w:val="right"/>
              <w:rPr>
                <w:rFonts w:ascii="sans-serif" w:hAnsi="sans-serif"/>
                <w:color w:val="000000"/>
                <w:sz w:val="20"/>
              </w:rPr>
            </w:pPr>
            <w:r>
              <w:rPr>
                <w:rFonts w:ascii="sans-serif" w:hAnsi="sans-serif"/>
                <w:color w:val="000000"/>
                <w:sz w:val="20"/>
              </w:rPr>
              <w:t>$3,164,060</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tcMar>
              <w:top w:w="0" w:type="dxa"/>
              <w:left w:w="0" w:type="dxa"/>
              <w:bottom w:w="0" w:type="dxa"/>
              <w:right w:w="0" w:type="dxa"/>
            </w:tcMar>
            <w:vAlign w:val="center"/>
          </w:tcPr>
          <w:p>
            <w:pPr>
              <w:pStyle w:val="TableContents"/>
              <w:bidi w:val="0"/>
              <w:spacing w:before="34" w:after="283"/>
              <w:ind w:left="0" w:right="0" w:firstLine="50"/>
              <w:jc w:val="right"/>
              <w:rPr>
                <w:rFonts w:ascii="sans-serif" w:hAnsi="sans-serif"/>
                <w:color w:val="000000"/>
                <w:sz w:val="20"/>
              </w:rPr>
            </w:pPr>
            <w:r>
              <w:rPr>
                <w:rFonts w:ascii="sans-serif" w:hAnsi="sans-serif"/>
                <w:color w:val="000000"/>
                <w:sz w:val="20"/>
              </w:rPr>
              <w:t>$2,925,969</w:t>
            </w:r>
          </w:p>
        </w:tc>
      </w:tr>
      <w:tr>
        <w:trPr/>
        <w:tc>
          <w:tcPr>
            <w:tcW w:w="4416" w:type="dxa"/>
            <w:tcBorders/>
            <w:tcMar>
              <w:top w:w="0" w:type="dxa"/>
              <w:left w:w="0" w:type="dxa"/>
              <w:bottom w:w="0" w:type="dxa"/>
              <w:right w:w="0" w:type="dxa"/>
            </w:tcMar>
            <w:vAlign w:val="center"/>
          </w:tcPr>
          <w:p>
            <w:pPr>
              <w:pStyle w:val="TableContents"/>
              <w:bidi w:val="0"/>
              <w:spacing w:before="32" w:after="283"/>
              <w:ind w:left="0" w:right="0" w:firstLine="50"/>
              <w:jc w:val="left"/>
              <w:rPr>
                <w:rFonts w:ascii="sans-serif" w:hAnsi="sans-serif"/>
                <w:color w:val="000000"/>
                <w:sz w:val="20"/>
              </w:rPr>
            </w:pPr>
            <w:r>
              <w:rPr>
                <w:rFonts w:ascii="sans-serif" w:hAnsi="sans-serif"/>
                <w:color w:val="000000"/>
                <w:sz w:val="20"/>
              </w:rPr>
              <w:t>Operating cash flows from finance leases</w:t>
            </w:r>
          </w:p>
        </w:tc>
        <w:tc>
          <w:tcPr>
            <w:tcW w:w="1186" w:type="dxa"/>
            <w:tcBorders>
              <w:bottom w:val="single" w:sz="4" w:space="0" w:color="000000"/>
            </w:tcBorders>
            <w:tcMar>
              <w:top w:w="0" w:type="dxa"/>
              <w:left w:w="0" w:type="dxa"/>
              <w:right w:w="0" w:type="dxa"/>
            </w:tcMar>
            <w:vAlign w:val="center"/>
          </w:tcPr>
          <w:p>
            <w:pPr>
              <w:pStyle w:val="TableContents"/>
              <w:bidi w:val="0"/>
              <w:spacing w:before="5" w:after="283"/>
              <w:jc w:val="right"/>
              <w:rPr>
                <w:rFonts w:ascii="sans-serif" w:hAnsi="sans-serif"/>
                <w:color w:val="000000"/>
                <w:sz w:val="20"/>
              </w:rPr>
            </w:pPr>
            <w:r>
              <w:rPr>
                <w:rFonts w:ascii="sans-serif" w:hAnsi="sans-serif"/>
                <w:color w:val="000000"/>
                <w:sz w:val="20"/>
              </w:rPr>
              <w:t>494,530</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tcMar>
              <w:top w:w="0" w:type="dxa"/>
              <w:left w:w="0" w:type="dxa"/>
              <w:right w:w="0" w:type="dxa"/>
            </w:tcMar>
            <w:vAlign w:val="center"/>
          </w:tcPr>
          <w:p>
            <w:pPr>
              <w:pStyle w:val="TableContents"/>
              <w:bidi w:val="0"/>
              <w:spacing w:before="5" w:after="283"/>
              <w:ind w:left="0" w:right="0" w:firstLine="50"/>
              <w:jc w:val="right"/>
              <w:rPr>
                <w:rFonts w:ascii="sans-serif" w:hAnsi="sans-serif"/>
                <w:color w:val="000000"/>
                <w:sz w:val="20"/>
              </w:rPr>
            </w:pPr>
            <w:r>
              <w:rPr>
                <w:rFonts w:ascii="sans-serif" w:hAnsi="sans-serif"/>
                <w:color w:val="000000"/>
                <w:sz w:val="20"/>
              </w:rPr>
              <w:t>1,230,356</w:t>
            </w:r>
          </w:p>
        </w:tc>
      </w:tr>
      <w:tr>
        <w:trPr/>
        <w:tc>
          <w:tcPr>
            <w:tcW w:w="4416" w:type="dxa"/>
            <w:tcBorders/>
            <w:tcMar>
              <w:top w:w="0" w:type="dxa"/>
              <w:left w:w="0" w:type="dxa"/>
              <w:bottom w:w="0" w:type="dxa"/>
              <w:right w:w="0" w:type="dxa"/>
            </w:tcMar>
            <w:vAlign w:val="center"/>
          </w:tcPr>
          <w:p>
            <w:pPr>
              <w:pStyle w:val="TableContents"/>
              <w:bidi w:val="0"/>
              <w:spacing w:before="68" w:after="283"/>
              <w:ind w:left="0" w:right="0" w:firstLine="50"/>
              <w:jc w:val="left"/>
              <w:rPr>
                <w:rFonts w:ascii="sans-serif" w:hAnsi="sans-serif"/>
                <w:color w:val="000000"/>
                <w:sz w:val="20"/>
              </w:rPr>
            </w:pPr>
            <w:r>
              <w:rPr>
                <w:rFonts w:ascii="sans-serif" w:hAnsi="sans-serif"/>
                <w:color w:val="000000"/>
                <w:sz w:val="20"/>
              </w:rPr>
              <w:t>Total</w:t>
            </w:r>
          </w:p>
        </w:tc>
        <w:tc>
          <w:tcPr>
            <w:tcW w:w="1186" w:type="dxa"/>
            <w:tcBorders/>
            <w:tcMar>
              <w:top w:w="0" w:type="dxa"/>
              <w:left w:w="0" w:type="dxa"/>
              <w:bottom w:w="0" w:type="dxa"/>
              <w:right w:w="0" w:type="dxa"/>
            </w:tcMar>
            <w:vAlign w:val="center"/>
          </w:tcPr>
          <w:p>
            <w:pPr>
              <w:pStyle w:val="TableContents"/>
              <w:bidi w:val="0"/>
              <w:spacing w:before="78" w:after="283"/>
              <w:jc w:val="right"/>
              <w:rPr>
                <w:rFonts w:ascii="sans-serif" w:hAnsi="sans-serif"/>
                <w:color w:val="000000"/>
                <w:sz w:val="20"/>
              </w:rPr>
            </w:pPr>
            <w:r>
              <w:rPr>
                <w:rFonts w:ascii="sans-serif" w:hAnsi="sans-serif"/>
                <w:color w:val="000000"/>
                <w:sz w:val="20"/>
              </w:rPr>
              <w:t>$3,658,590</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tcMar>
              <w:top w:w="0" w:type="dxa"/>
              <w:left w:w="0" w:type="dxa"/>
              <w:bottom w:w="0" w:type="dxa"/>
              <w:right w:w="0" w:type="dxa"/>
            </w:tcMar>
            <w:vAlign w:val="center"/>
          </w:tcPr>
          <w:p>
            <w:pPr>
              <w:pStyle w:val="TableContents"/>
              <w:bidi w:val="0"/>
              <w:spacing w:before="78" w:after="283"/>
              <w:jc w:val="right"/>
              <w:rPr>
                <w:rFonts w:ascii="sans-serif" w:hAnsi="sans-serif"/>
                <w:color w:val="000000"/>
                <w:sz w:val="20"/>
              </w:rPr>
            </w:pPr>
            <w:r>
              <w:rPr>
                <w:rFonts w:ascii="sans-serif" w:hAnsi="sans-serif"/>
                <w:color w:val="000000"/>
                <w:sz w:val="20"/>
              </w:rPr>
              <w:t>$4,156,325</w:t>
            </w:r>
          </w:p>
        </w:tc>
      </w:tr>
    </w:tbl>
    <w:p>
      <w:pPr>
        <w:pStyle w:val="TextBody"/>
        <w:bidi w:val="0"/>
        <w:spacing w:before="197" w:after="283"/>
        <w:jc w:val="left"/>
        <w:rPr>
          <w:rFonts w:ascii="sans-serif" w:hAnsi="sans-serif"/>
          <w:color w:val="000000"/>
          <w:sz w:val="20"/>
        </w:rPr>
      </w:pPr>
      <w:r>
        <w:rPr>
          <w:rFonts w:ascii="sans-serif" w:hAnsi="sans-serif"/>
          <w:color w:val="000000"/>
          <w:sz w:val="20"/>
        </w:rPr>
        <w:t>The following table includes a summary of the ROU assets obtained in exchange for lease liabilities for years ended December 31, 2025, and 2024, as follows:</w:t>
      </w:r>
    </w:p>
    <w:p>
      <w:pPr>
        <w:pStyle w:val="TextBody"/>
        <w:bidi w:val="0"/>
        <w:spacing w:before="2" w:after="1"/>
        <w:jc w:val="left"/>
        <w:rPr/>
      </w:pPr>
      <w:r>
        <w:rPr/>
        <w:t> </w:t>
      </w:r>
    </w:p>
    <w:tbl>
      <w:tblPr>
        <w:tblW w:w="4434" w:type="dxa"/>
        <w:jc w:val="left"/>
        <w:tblInd w:w="0" w:type="dxa"/>
        <w:tblLayout w:type="fixed"/>
        <w:tblCellMar>
          <w:top w:w="28" w:type="dxa"/>
          <w:left w:w="28" w:type="dxa"/>
          <w:bottom w:w="28" w:type="dxa"/>
          <w:right w:w="28" w:type="dxa"/>
        </w:tblCellMar>
      </w:tblPr>
      <w:tblGrid>
        <w:gridCol w:w="1821"/>
        <w:gridCol w:w="1186"/>
        <w:gridCol w:w="146"/>
        <w:gridCol w:w="1281"/>
      </w:tblGrid>
      <w:tr>
        <w:trPr/>
        <w:tc>
          <w:tcPr>
            <w:tcW w:w="182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1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tcMar>
              <w:top w:w="0" w:type="dxa"/>
              <w:left w:w="0" w:type="dxa"/>
              <w:bottom w:w="0" w:type="dxa"/>
              <w:right w:w="0" w:type="dxa"/>
            </w:tcMar>
            <w:vAlign w:val="center"/>
          </w:tcPr>
          <w:p>
            <w:pPr>
              <w:pStyle w:val="TableContents"/>
              <w:bidi w:val="0"/>
              <w:spacing w:before="0" w:after="283"/>
              <w:ind w:left="0" w:right="0" w:firstLine="50"/>
              <w:jc w:val="center"/>
              <w:rPr>
                <w:rFonts w:ascii="sans-serif" w:hAnsi="sans-serif"/>
                <w:b/>
                <w:color w:val="000000"/>
                <w:sz w:val="20"/>
              </w:rPr>
            </w:pPr>
            <w:r>
              <w:rPr>
                <w:rFonts w:ascii="sans-serif" w:hAnsi="sans-serif"/>
                <w:b/>
                <w:color w:val="000000"/>
                <w:sz w:val="20"/>
              </w:rPr>
              <w:t>2024</w:t>
            </w:r>
          </w:p>
        </w:tc>
      </w:tr>
      <w:tr>
        <w:trPr/>
        <w:tc>
          <w:tcPr>
            <w:tcW w:w="1821" w:type="dxa"/>
            <w:tcBorders/>
            <w:tcMar>
              <w:top w:w="0" w:type="dxa"/>
              <w:left w:w="0" w:type="dxa"/>
              <w:bottom w:w="0" w:type="dxa"/>
              <w:right w:w="0" w:type="dxa"/>
            </w:tcMar>
            <w:vAlign w:val="center"/>
          </w:tcPr>
          <w:p>
            <w:pPr>
              <w:pStyle w:val="TableContents"/>
              <w:bidi w:val="0"/>
              <w:spacing w:before="20" w:after="283"/>
              <w:ind w:left="0" w:right="0" w:firstLine="50"/>
              <w:jc w:val="left"/>
              <w:rPr>
                <w:rFonts w:ascii="sans-serif" w:hAnsi="sans-serif"/>
                <w:color w:val="000000"/>
                <w:sz w:val="20"/>
              </w:rPr>
            </w:pPr>
            <w:r>
              <w:rPr>
                <w:rFonts w:ascii="sans-serif" w:hAnsi="sans-serif"/>
                <w:color w:val="000000"/>
                <w:sz w:val="20"/>
              </w:rPr>
              <w:t>Operating leases</w:t>
            </w:r>
          </w:p>
        </w:tc>
        <w:tc>
          <w:tcPr>
            <w:tcW w:w="1186" w:type="dxa"/>
            <w:tcBorders/>
            <w:tcMar>
              <w:top w:w="0" w:type="dxa"/>
              <w:left w:w="0" w:type="dxa"/>
              <w:bottom w:w="0" w:type="dxa"/>
              <w:right w:w="0" w:type="dxa"/>
            </w:tcMar>
            <w:vAlign w:val="center"/>
          </w:tcPr>
          <w:p>
            <w:pPr>
              <w:pStyle w:val="TableContents"/>
              <w:bidi w:val="0"/>
              <w:spacing w:before="29" w:after="283"/>
              <w:jc w:val="right"/>
              <w:rPr>
                <w:rFonts w:ascii="sans-serif" w:hAnsi="sans-serif"/>
                <w:color w:val="000000"/>
                <w:sz w:val="20"/>
              </w:rPr>
            </w:pPr>
            <w:r>
              <w:rPr>
                <w:rFonts w:ascii="sans-serif" w:hAnsi="sans-serif"/>
                <w:color w:val="000000"/>
                <w:sz w:val="20"/>
              </w:rPr>
              <w:t>$6,853,751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tcMar>
              <w:top w:w="0" w:type="dxa"/>
              <w:left w:w="0" w:type="dxa"/>
              <w:bottom w:w="0" w:type="dxa"/>
              <w:right w:w="0" w:type="dxa"/>
            </w:tcMar>
            <w:vAlign w:val="center"/>
          </w:tcPr>
          <w:p>
            <w:pPr>
              <w:pStyle w:val="TableContents"/>
              <w:bidi w:val="0"/>
              <w:spacing w:before="29" w:after="283"/>
              <w:ind w:left="0" w:right="0" w:firstLine="50"/>
              <w:jc w:val="right"/>
              <w:rPr>
                <w:rFonts w:ascii="sans-serif" w:hAnsi="sans-serif"/>
                <w:color w:val="000000"/>
                <w:sz w:val="20"/>
              </w:rPr>
            </w:pPr>
            <w:r>
              <w:rPr>
                <w:rFonts w:ascii="sans-serif" w:hAnsi="sans-serif"/>
                <w:color w:val="000000"/>
                <w:sz w:val="20"/>
              </w:rPr>
              <w:t>$5,645,904</w:t>
            </w:r>
          </w:p>
        </w:tc>
      </w:tr>
      <w:tr>
        <w:trPr/>
        <w:tc>
          <w:tcPr>
            <w:tcW w:w="1821" w:type="dxa"/>
            <w:tcBorders/>
            <w:tcMar>
              <w:top w:w="0" w:type="dxa"/>
              <w:left w:w="0" w:type="dxa"/>
              <w:bottom w:w="0" w:type="dxa"/>
              <w:right w:w="0" w:type="dxa"/>
            </w:tcMar>
            <w:vAlign w:val="center"/>
          </w:tcPr>
          <w:p>
            <w:pPr>
              <w:pStyle w:val="TableContents"/>
              <w:bidi w:val="0"/>
              <w:spacing w:before="2" w:after="283"/>
              <w:ind w:left="0" w:right="0" w:firstLine="50"/>
              <w:jc w:val="left"/>
              <w:rPr>
                <w:rFonts w:ascii="sans-serif" w:hAnsi="sans-serif"/>
                <w:color w:val="000000"/>
                <w:sz w:val="20"/>
              </w:rPr>
            </w:pPr>
            <w:r>
              <w:rPr>
                <w:rFonts w:ascii="sans-serif" w:hAnsi="sans-serif"/>
                <w:color w:val="000000"/>
                <w:sz w:val="20"/>
              </w:rPr>
              <w:t>Finance leases</w:t>
            </w:r>
          </w:p>
        </w:tc>
        <w:tc>
          <w:tcPr>
            <w:tcW w:w="1186" w:type="dxa"/>
            <w:tcBorders>
              <w:bottom w:val="single" w:sz="4" w:space="0" w:color="000000"/>
            </w:tcBorders>
            <w:tcMar>
              <w:top w:w="0" w:type="dxa"/>
              <w:left w:w="0" w:type="dxa"/>
              <w:right w:w="0" w:type="dxa"/>
            </w:tcMar>
            <w:vAlign w:val="center"/>
          </w:tcPr>
          <w:p>
            <w:pPr>
              <w:pStyle w:val="TableContents"/>
              <w:bidi w:val="0"/>
              <w:spacing w:before="7" w:after="283"/>
              <w:jc w:val="right"/>
              <w:rPr>
                <w:rFonts w:ascii="sans-serif" w:hAnsi="sans-serif"/>
                <w:color w:val="000000"/>
                <w:sz w:val="20"/>
              </w:rPr>
            </w:pPr>
            <w:r>
              <w:rPr>
                <w:rFonts w:ascii="sans-serif" w:hAnsi="sans-serif"/>
                <w:color w:val="000000"/>
                <w:sz w:val="20"/>
              </w:rPr>
              <w:t>2,232,762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tcMar>
              <w:top w:w="0" w:type="dxa"/>
              <w:left w:w="0" w:type="dxa"/>
              <w:right w:w="0" w:type="dxa"/>
            </w:tcMar>
            <w:vAlign w:val="center"/>
          </w:tcPr>
          <w:p>
            <w:pPr>
              <w:pStyle w:val="TableContents"/>
              <w:bidi w:val="0"/>
              <w:spacing w:before="7" w:after="283"/>
              <w:ind w:left="0" w:right="0" w:firstLine="50"/>
              <w:jc w:val="right"/>
              <w:rPr>
                <w:rFonts w:ascii="sans-serif" w:hAnsi="sans-serif"/>
                <w:color w:val="000000"/>
                <w:sz w:val="20"/>
              </w:rPr>
            </w:pPr>
            <w:r>
              <w:rPr>
                <w:rFonts w:ascii="sans-serif" w:hAnsi="sans-serif"/>
                <w:color w:val="000000"/>
                <w:sz w:val="20"/>
              </w:rPr>
              <w:t>3,198,208</w:t>
            </w:r>
          </w:p>
        </w:tc>
      </w:tr>
      <w:tr>
        <w:trPr/>
        <w:tc>
          <w:tcPr>
            <w:tcW w:w="1821" w:type="dxa"/>
            <w:tcBorders/>
            <w:tcMar>
              <w:top w:w="0" w:type="dxa"/>
              <w:left w:w="0" w:type="dxa"/>
              <w:bottom w:w="0" w:type="dxa"/>
              <w:right w:w="0" w:type="dxa"/>
            </w:tcMar>
            <w:vAlign w:val="center"/>
          </w:tcPr>
          <w:p>
            <w:pPr>
              <w:pStyle w:val="TableContents"/>
              <w:bidi w:val="0"/>
              <w:spacing w:before="25" w:after="283"/>
              <w:ind w:left="0" w:right="0" w:firstLine="50"/>
              <w:jc w:val="left"/>
              <w:rPr>
                <w:rFonts w:ascii="sans-serif" w:hAnsi="sans-serif"/>
                <w:color w:val="000000"/>
                <w:sz w:val="20"/>
              </w:rPr>
            </w:pPr>
            <w:r>
              <w:rPr>
                <w:rFonts w:ascii="sans-serif" w:hAnsi="sans-serif"/>
                <w:color w:val="000000"/>
                <w:sz w:val="20"/>
              </w:rPr>
              <w:t>Total</w:t>
            </w:r>
          </w:p>
        </w:tc>
        <w:tc>
          <w:tcPr>
            <w:tcW w:w="1186" w:type="dxa"/>
            <w:tcBorders>
              <w:bottom w:val="double" w:sz="4" w:space="0" w:color="000000"/>
            </w:tcBorders>
            <w:tcMar>
              <w:top w:w="0" w:type="dxa"/>
              <w:left w:w="0" w:type="dxa"/>
              <w:right w:w="0" w:type="dxa"/>
            </w:tcMar>
            <w:vAlign w:val="center"/>
          </w:tcPr>
          <w:p>
            <w:pPr>
              <w:pStyle w:val="TableContents"/>
              <w:bidi w:val="0"/>
              <w:spacing w:before="49" w:after="283"/>
              <w:jc w:val="right"/>
              <w:rPr>
                <w:rFonts w:ascii="sans-serif" w:hAnsi="sans-serif"/>
                <w:color w:val="000000"/>
                <w:sz w:val="20"/>
              </w:rPr>
            </w:pPr>
            <w:r>
              <w:rPr>
                <w:rFonts w:ascii="sans-serif" w:hAnsi="sans-serif"/>
                <w:color w:val="000000"/>
                <w:sz w:val="20"/>
              </w:rPr>
              <w:t>$9,086,513</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281" w:type="dxa"/>
            <w:tcBorders>
              <w:bottom w:val="double" w:sz="4" w:space="0" w:color="000000"/>
            </w:tcBorders>
            <w:tcMar>
              <w:top w:w="0" w:type="dxa"/>
              <w:left w:w="0" w:type="dxa"/>
              <w:right w:w="0" w:type="dxa"/>
            </w:tcMar>
            <w:vAlign w:val="center"/>
          </w:tcPr>
          <w:p>
            <w:pPr>
              <w:pStyle w:val="TableContents"/>
              <w:bidi w:val="0"/>
              <w:spacing w:before="49" w:after="283"/>
              <w:jc w:val="right"/>
              <w:rPr>
                <w:rFonts w:ascii="sans-serif" w:hAnsi="sans-serif"/>
                <w:color w:val="000000"/>
                <w:sz w:val="20"/>
              </w:rPr>
            </w:pPr>
            <w:r>
              <w:rPr>
                <w:rFonts w:ascii="sans-serif" w:hAnsi="sans-serif"/>
                <w:color w:val="000000"/>
                <w:sz w:val="20"/>
              </w:rPr>
              <w:t>$8,844,112</w:t>
            </w:r>
          </w:p>
        </w:tc>
      </w:tr>
    </w:tbl>
    <w:p>
      <w:pPr>
        <w:pStyle w:val="TextBody"/>
        <w:bidi w:val="0"/>
        <w:jc w:val="left"/>
        <w:rPr/>
      </w:pPr>
      <w:r>
        <w:rPr/>
        <w:t>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color w:val="000000"/>
          <w:sz w:val="20"/>
        </w:rPr>
      </w:pPr>
      <w:r>
        <w:rPr>
          <w:rFonts w:ascii="sans-serif" w:hAnsi="sans-serif"/>
          <w:color w:val="000000"/>
          <w:sz w:val="20"/>
        </w:rPr>
        <w:t>The following table includes the weighted-average lease terms and discount rates for operating and finance leases as of December 31, 2025, and 2024, are as follows:</w:t>
      </w:r>
    </w:p>
    <w:p>
      <w:pPr>
        <w:pStyle w:val="TextBody"/>
        <w:bidi w:val="0"/>
        <w:jc w:val="left"/>
        <w:rPr/>
      </w:pPr>
      <w:r>
        <w:rPr/>
        <w:t> </w:t>
      </w:r>
    </w:p>
    <w:tbl>
      <w:tblPr>
        <w:tblW w:w="6876" w:type="dxa"/>
        <w:jc w:val="left"/>
        <w:tblInd w:w="0" w:type="dxa"/>
        <w:tblLayout w:type="fixed"/>
        <w:tblCellMar>
          <w:top w:w="28" w:type="dxa"/>
          <w:left w:w="28" w:type="dxa"/>
          <w:bottom w:w="28" w:type="dxa"/>
          <w:right w:w="28" w:type="dxa"/>
        </w:tblCellMar>
      </w:tblPr>
      <w:tblGrid>
        <w:gridCol w:w="4430"/>
        <w:gridCol w:w="1126"/>
        <w:gridCol w:w="1320"/>
      </w:tblGrid>
      <w:tr>
        <w:trPr/>
        <w:tc>
          <w:tcPr>
            <w:tcW w:w="443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430" w:type="dxa"/>
            <w:tcBorders/>
            <w:tcMar>
              <w:top w:w="0" w:type="dxa"/>
              <w:left w:w="0" w:type="dxa"/>
              <w:bottom w:w="0" w:type="dxa"/>
              <w:right w:w="0" w:type="dxa"/>
            </w:tcMar>
            <w:vAlign w:val="center"/>
          </w:tcPr>
          <w:p>
            <w:pPr>
              <w:pStyle w:val="TableContents"/>
              <w:bidi w:val="0"/>
              <w:spacing w:before="0" w:after="283"/>
              <w:ind w:left="0" w:right="0" w:firstLine="289"/>
              <w:jc w:val="left"/>
              <w:rPr>
                <w:rFonts w:ascii="sans-serif" w:hAnsi="sans-serif"/>
                <w:color w:val="000000"/>
                <w:sz w:val="20"/>
              </w:rPr>
            </w:pPr>
            <w:r>
              <w:rPr>
                <w:rFonts w:ascii="sans-serif" w:hAnsi="sans-serif"/>
                <w:color w:val="000000"/>
                <w:sz w:val="20"/>
              </w:rPr>
              <w:t>Weighted-average remaining lease term:</w:t>
            </w:r>
          </w:p>
        </w:tc>
        <w:tc>
          <w:tcPr>
            <w:tcW w:w="1126" w:type="dxa"/>
            <w:tcBorders/>
            <w:tcMar>
              <w:top w:w="0" w:type="dxa"/>
              <w:left w:w="0" w:type="dxa"/>
              <w:bottom w:w="0" w:type="dxa"/>
              <w:right w:w="0" w:type="dxa"/>
            </w:tcMar>
            <w:vAlign w:val="center"/>
          </w:tcPr>
          <w:p>
            <w:pPr>
              <w:pStyle w:val="TableContents"/>
              <w:bidi w:val="0"/>
              <w:spacing w:before="0" w:after="283"/>
              <w:ind w:left="0" w:right="0" w:firstLine="289"/>
              <w:jc w:val="center"/>
              <w:rPr>
                <w:rFonts w:ascii="sans-serif" w:hAnsi="sans-serif"/>
                <w:b/>
                <w:color w:val="000000"/>
                <w:sz w:val="20"/>
              </w:rPr>
            </w:pPr>
            <w:r>
              <w:rPr>
                <w:rFonts w:ascii="sans-serif" w:hAnsi="sans-serif"/>
                <w:b/>
                <w:color w:val="000000"/>
                <w:sz w:val="20"/>
              </w:rPr>
              <w:t>2025</w:t>
            </w:r>
          </w:p>
        </w:tc>
        <w:tc>
          <w:tcPr>
            <w:tcW w:w="1320" w:type="dxa"/>
            <w:tcBorders/>
            <w:tcMar>
              <w:top w:w="0" w:type="dxa"/>
              <w:left w:w="0" w:type="dxa"/>
              <w:bottom w:w="0" w:type="dxa"/>
              <w:right w:w="0" w:type="dxa"/>
            </w:tcMar>
            <w:vAlign w:val="center"/>
          </w:tcPr>
          <w:p>
            <w:pPr>
              <w:pStyle w:val="TableContents"/>
              <w:bidi w:val="0"/>
              <w:spacing w:before="0" w:after="283"/>
              <w:ind w:left="0" w:right="0" w:firstLine="149"/>
              <w:jc w:val="center"/>
              <w:rPr>
                <w:rFonts w:ascii="sans-serif" w:hAnsi="sans-serif"/>
                <w:b/>
                <w:color w:val="000000"/>
                <w:sz w:val="20"/>
              </w:rPr>
            </w:pPr>
            <w:r>
              <w:rPr>
                <w:rFonts w:ascii="sans-serif" w:hAnsi="sans-serif"/>
                <w:b/>
                <w:color w:val="000000"/>
                <w:sz w:val="20"/>
              </w:rPr>
              <w:t>2024</w:t>
            </w:r>
          </w:p>
        </w:tc>
      </w:tr>
      <w:tr>
        <w:trPr/>
        <w:tc>
          <w:tcPr>
            <w:tcW w:w="4430" w:type="dxa"/>
            <w:tcBorders/>
            <w:tcMar>
              <w:top w:w="0" w:type="dxa"/>
              <w:left w:w="0" w:type="dxa"/>
              <w:bottom w:w="0" w:type="dxa"/>
              <w:right w:w="0" w:type="dxa"/>
            </w:tcMar>
            <w:vAlign w:val="center"/>
          </w:tcPr>
          <w:p>
            <w:pPr>
              <w:pStyle w:val="TableContents"/>
              <w:bidi w:val="0"/>
              <w:spacing w:before="0" w:after="283"/>
              <w:ind w:left="0" w:right="0" w:firstLine="149"/>
              <w:jc w:val="left"/>
              <w:rPr>
                <w:rFonts w:ascii="sans-serif" w:hAnsi="sans-serif"/>
                <w:color w:val="000000"/>
                <w:sz w:val="20"/>
              </w:rPr>
            </w:pPr>
            <w:r>
              <w:rPr>
                <w:rFonts w:ascii="sans-serif" w:hAnsi="sans-serif"/>
                <w:color w:val="000000"/>
                <w:sz w:val="20"/>
              </w:rPr>
              <w:t>Operating leases</w:t>
            </w:r>
          </w:p>
        </w:tc>
        <w:tc>
          <w:tcPr>
            <w:tcW w:w="11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2.86 years</w:t>
            </w:r>
          </w:p>
        </w:tc>
        <w:tc>
          <w:tcPr>
            <w:tcW w:w="1320" w:type="dxa"/>
            <w:tcBorders/>
            <w:tcMar>
              <w:top w:w="0" w:type="dxa"/>
              <w:left w:w="0" w:type="dxa"/>
              <w:bottom w:w="0" w:type="dxa"/>
              <w:right w:w="0" w:type="dxa"/>
            </w:tcMar>
            <w:vAlign w:val="center"/>
          </w:tcPr>
          <w:p>
            <w:pPr>
              <w:pStyle w:val="TableContents"/>
              <w:bidi w:val="0"/>
              <w:spacing w:before="0" w:after="283"/>
              <w:ind w:left="0" w:right="0" w:firstLine="149"/>
              <w:jc w:val="right"/>
              <w:rPr>
                <w:rFonts w:ascii="sans-serif" w:hAnsi="sans-serif"/>
                <w:color w:val="000000"/>
                <w:sz w:val="20"/>
              </w:rPr>
            </w:pPr>
            <w:r>
              <w:rPr>
                <w:rFonts w:ascii="sans-serif" w:hAnsi="sans-serif"/>
                <w:color w:val="000000"/>
                <w:sz w:val="20"/>
              </w:rPr>
              <w:t>3.26 years</w:t>
            </w:r>
          </w:p>
        </w:tc>
      </w:tr>
      <w:tr>
        <w:trPr/>
        <w:tc>
          <w:tcPr>
            <w:tcW w:w="4430" w:type="dxa"/>
            <w:tcBorders/>
            <w:tcMar>
              <w:top w:w="0" w:type="dxa"/>
              <w:left w:w="0" w:type="dxa"/>
              <w:bottom w:w="0" w:type="dxa"/>
              <w:right w:w="0" w:type="dxa"/>
            </w:tcMar>
            <w:vAlign w:val="center"/>
          </w:tcPr>
          <w:p>
            <w:pPr>
              <w:pStyle w:val="TableContents"/>
              <w:bidi w:val="0"/>
              <w:spacing w:before="0" w:after="283"/>
              <w:ind w:left="0" w:right="0" w:firstLine="149"/>
              <w:jc w:val="left"/>
              <w:rPr>
                <w:rFonts w:ascii="sans-serif" w:hAnsi="sans-serif"/>
                <w:color w:val="000000"/>
                <w:sz w:val="20"/>
              </w:rPr>
            </w:pPr>
            <w:r>
              <w:rPr>
                <w:rFonts w:ascii="sans-serif" w:hAnsi="sans-serif"/>
                <w:color w:val="000000"/>
                <w:sz w:val="20"/>
              </w:rPr>
              <w:t>Finance leases</w:t>
            </w:r>
          </w:p>
        </w:tc>
        <w:tc>
          <w:tcPr>
            <w:tcW w:w="11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3.58 years</w:t>
            </w:r>
          </w:p>
        </w:tc>
        <w:tc>
          <w:tcPr>
            <w:tcW w:w="1320" w:type="dxa"/>
            <w:tcBorders/>
            <w:tcMar>
              <w:top w:w="0" w:type="dxa"/>
              <w:left w:w="0" w:type="dxa"/>
              <w:bottom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1.91 years</w:t>
            </w:r>
          </w:p>
        </w:tc>
      </w:tr>
      <w:tr>
        <w:trPr/>
        <w:tc>
          <w:tcPr>
            <w:tcW w:w="4430"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color w:val="000000"/>
                <w:sz w:val="20"/>
              </w:rPr>
            </w:pPr>
            <w:r>
              <w:rPr>
                <w:rFonts w:ascii="sans-serif" w:hAnsi="sans-serif"/>
                <w:color w:val="000000"/>
                <w:sz w:val="20"/>
              </w:rPr>
              <w:t>Weighted-average discount rate:</w:t>
            </w:r>
          </w:p>
        </w:tc>
        <w:tc>
          <w:tcPr>
            <w:tcW w:w="112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tcMar>
              <w:top w:w="0" w:type="dxa"/>
              <w:left w:w="0" w:type="dxa"/>
              <w:bottom w:w="0" w:type="dxa"/>
              <w:right w:w="0" w:type="dxa"/>
            </w:tcMar>
            <w:vAlign w:val="center"/>
          </w:tcPr>
          <w:p>
            <w:pPr>
              <w:pStyle w:val="TableContents"/>
              <w:bidi w:val="0"/>
              <w:spacing w:before="0" w:after="283"/>
              <w:ind w:left="0" w:right="0" w:firstLine="149"/>
              <w:jc w:val="left"/>
              <w:rPr/>
            </w:pPr>
            <w:r>
              <w:rPr/>
              <w:t> </w:t>
            </w:r>
          </w:p>
        </w:tc>
      </w:tr>
      <w:tr>
        <w:trPr/>
        <w:tc>
          <w:tcPr>
            <w:tcW w:w="4430" w:type="dxa"/>
            <w:tcBorders/>
            <w:tcMar>
              <w:top w:w="0" w:type="dxa"/>
              <w:left w:w="0" w:type="dxa"/>
              <w:bottom w:w="0" w:type="dxa"/>
              <w:right w:w="0" w:type="dxa"/>
            </w:tcMar>
            <w:vAlign w:val="center"/>
          </w:tcPr>
          <w:p>
            <w:pPr>
              <w:pStyle w:val="TableContents"/>
              <w:bidi w:val="0"/>
              <w:spacing w:before="0" w:after="283"/>
              <w:ind w:left="0" w:right="0" w:firstLine="149"/>
              <w:jc w:val="left"/>
              <w:rPr>
                <w:rFonts w:ascii="sans-serif" w:hAnsi="sans-serif"/>
                <w:color w:val="000000"/>
                <w:sz w:val="20"/>
              </w:rPr>
            </w:pPr>
            <w:r>
              <w:rPr>
                <w:rFonts w:ascii="sans-serif" w:hAnsi="sans-serif"/>
                <w:color w:val="000000"/>
                <w:sz w:val="20"/>
              </w:rPr>
              <w:t>Operating leases</w:t>
            </w:r>
          </w:p>
        </w:tc>
        <w:tc>
          <w:tcPr>
            <w:tcW w:w="11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3.37%</w:t>
            </w:r>
          </w:p>
        </w:tc>
        <w:tc>
          <w:tcPr>
            <w:tcW w:w="1320" w:type="dxa"/>
            <w:tcBorders/>
            <w:tcMar>
              <w:top w:w="0" w:type="dxa"/>
              <w:left w:w="0" w:type="dxa"/>
              <w:bottom w:w="0" w:type="dxa"/>
              <w:right w:w="0" w:type="dxa"/>
            </w:tcMar>
            <w:vAlign w:val="center"/>
          </w:tcPr>
          <w:p>
            <w:pPr>
              <w:pStyle w:val="TableContents"/>
              <w:bidi w:val="0"/>
              <w:spacing w:before="0" w:after="283"/>
              <w:ind w:left="0" w:right="0" w:firstLine="149"/>
              <w:jc w:val="right"/>
              <w:rPr>
                <w:rFonts w:ascii="sans-serif" w:hAnsi="sans-serif"/>
                <w:color w:val="000000"/>
                <w:sz w:val="20"/>
              </w:rPr>
            </w:pPr>
            <w:r>
              <w:rPr>
                <w:rFonts w:ascii="sans-serif" w:hAnsi="sans-serif"/>
                <w:color w:val="000000"/>
                <w:sz w:val="20"/>
              </w:rPr>
              <w:t>3.43 %</w:t>
            </w:r>
          </w:p>
        </w:tc>
      </w:tr>
      <w:tr>
        <w:trPr/>
        <w:tc>
          <w:tcPr>
            <w:tcW w:w="4430" w:type="dxa"/>
            <w:tcBorders/>
            <w:tcMar>
              <w:top w:w="0" w:type="dxa"/>
              <w:left w:w="0" w:type="dxa"/>
              <w:bottom w:w="0" w:type="dxa"/>
              <w:right w:w="0" w:type="dxa"/>
            </w:tcMar>
            <w:vAlign w:val="center"/>
          </w:tcPr>
          <w:p>
            <w:pPr>
              <w:pStyle w:val="TableContents"/>
              <w:bidi w:val="0"/>
              <w:spacing w:before="0" w:after="283"/>
              <w:ind w:left="0" w:right="0" w:firstLine="149"/>
              <w:jc w:val="left"/>
              <w:rPr>
                <w:rFonts w:ascii="sans-serif" w:hAnsi="sans-serif"/>
                <w:color w:val="000000"/>
                <w:sz w:val="20"/>
              </w:rPr>
            </w:pPr>
            <w:r>
              <w:rPr>
                <w:rFonts w:ascii="sans-serif" w:hAnsi="sans-serif"/>
                <w:color w:val="000000"/>
                <w:sz w:val="20"/>
              </w:rPr>
              <w:t>Finance leases</w:t>
            </w:r>
          </w:p>
        </w:tc>
        <w:tc>
          <w:tcPr>
            <w:tcW w:w="11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4.65 %</w:t>
            </w:r>
          </w:p>
        </w:tc>
        <w:tc>
          <w:tcPr>
            <w:tcW w:w="132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4.43 %</w:t>
            </w:r>
          </w:p>
        </w:tc>
      </w:tr>
    </w:tbl>
    <w:p>
      <w:pPr>
        <w:pStyle w:val="TextBody"/>
        <w:bidi w:val="0"/>
        <w:spacing w:before="194" w:after="283"/>
        <w:jc w:val="left"/>
        <w:rPr>
          <w:rFonts w:ascii="sans-serif" w:hAnsi="sans-serif"/>
          <w:color w:val="000000"/>
          <w:sz w:val="20"/>
        </w:rPr>
      </w:pPr>
      <w:r>
        <w:rPr>
          <w:rFonts w:ascii="sans-serif" w:hAnsi="sans-serif"/>
          <w:color w:val="000000"/>
          <w:sz w:val="20"/>
        </w:rPr>
        <w:t>The following table includes the future maturities of lease payments for operating leases and finance leases for periods subsequent to December 31, 2025:</w:t>
      </w:r>
    </w:p>
    <w:p>
      <w:pPr>
        <w:pStyle w:val="TextBody"/>
        <w:bidi w:val="0"/>
        <w:spacing w:before="11" w:after="1"/>
        <w:jc w:val="left"/>
        <w:rPr/>
      </w:pPr>
      <w:r>
        <w:rPr/>
        <w:t> </w:t>
      </w:r>
    </w:p>
    <w:tbl>
      <w:tblPr>
        <w:tblW w:w="9081" w:type="dxa"/>
        <w:jc w:val="left"/>
        <w:tblInd w:w="0" w:type="dxa"/>
        <w:tblLayout w:type="fixed"/>
        <w:tblCellMar>
          <w:top w:w="28" w:type="dxa"/>
          <w:left w:w="28" w:type="dxa"/>
          <w:bottom w:w="28" w:type="dxa"/>
          <w:right w:w="28" w:type="dxa"/>
        </w:tblCellMar>
      </w:tblPr>
      <w:tblGrid>
        <w:gridCol w:w="4101"/>
        <w:gridCol w:w="1386"/>
        <w:gridCol w:w="346"/>
        <w:gridCol w:w="1186"/>
        <w:gridCol w:w="539"/>
        <w:gridCol w:w="1523"/>
      </w:tblGrid>
      <w:tr>
        <w:trPr/>
        <w:tc>
          <w:tcPr>
            <w:tcW w:w="410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101" w:type="dxa"/>
            <w:tcBorders/>
            <w:tcMar>
              <w:top w:w="0" w:type="dxa"/>
              <w:left w:w="0" w:type="dxa"/>
              <w:bottom w:w="0" w:type="dxa"/>
              <w:right w:w="0" w:type="dxa"/>
            </w:tcMar>
            <w:vAlign w:val="center"/>
          </w:tcPr>
          <w:p>
            <w:pPr>
              <w:pStyle w:val="TableContents"/>
              <w:bidi w:val="0"/>
              <w:spacing w:before="232" w:after="283"/>
              <w:ind w:left="0" w:right="0" w:firstLine="200"/>
              <w:jc w:val="left"/>
              <w:rPr>
                <w:rFonts w:ascii="sans-serif" w:hAnsi="sans-serif"/>
                <w:b/>
                <w:color w:val="000000"/>
                <w:sz w:val="20"/>
              </w:rPr>
            </w:pPr>
            <w:r>
              <w:rPr>
                <w:rFonts w:ascii="sans-serif" w:hAnsi="sans-serif"/>
                <w:b/>
                <w:color w:val="000000"/>
                <w:sz w:val="20"/>
              </w:rPr>
              <w:t>Year Ended December 31,</w:t>
            </w:r>
          </w:p>
        </w:tc>
        <w:tc>
          <w:tcPr>
            <w:tcW w:w="1386" w:type="dxa"/>
            <w:tcBorders/>
            <w:tcMar>
              <w:top w:w="0" w:type="dxa"/>
              <w:left w:w="0" w:type="dxa"/>
              <w:bottom w:w="0" w:type="dxa"/>
              <w:right w:w="0" w:type="dxa"/>
            </w:tcMar>
            <w:vAlign w:val="center"/>
          </w:tcPr>
          <w:p>
            <w:pPr>
              <w:pStyle w:val="TableContents"/>
              <w:bidi w:val="0"/>
              <w:ind w:left="0" w:right="0" w:firstLine="200"/>
              <w:jc w:val="center"/>
              <w:rPr>
                <w:rFonts w:ascii="sans-serif" w:hAnsi="sans-serif"/>
                <w:b/>
                <w:color w:val="000000"/>
                <w:sz w:val="20"/>
              </w:rPr>
            </w:pPr>
            <w:r>
              <w:rPr>
                <w:rFonts w:ascii="sans-serif" w:hAnsi="sans-serif"/>
                <w:b/>
                <w:color w:val="000000"/>
                <w:sz w:val="20"/>
              </w:rPr>
              <w:t>Operating</w:t>
            </w:r>
          </w:p>
          <w:p>
            <w:pPr>
              <w:pStyle w:val="TableContents"/>
              <w:bidi w:val="0"/>
              <w:spacing w:before="36" w:after="283"/>
              <w:ind w:left="0" w:right="0" w:firstLine="200"/>
              <w:jc w:val="center"/>
              <w:rPr>
                <w:rFonts w:ascii="sans-serif" w:hAnsi="sans-serif"/>
                <w:b/>
                <w:color w:val="000000"/>
                <w:sz w:val="20"/>
              </w:rPr>
            </w:pPr>
            <w:r>
              <w:rPr>
                <w:rFonts w:ascii="sans-serif" w:hAnsi="sans-serif"/>
                <w:b/>
                <w:color w:val="000000"/>
                <w:sz w:val="20"/>
              </w:rPr>
              <w:t>Lease</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c>
          <w:tcPr>
            <w:tcW w:w="1186" w:type="dxa"/>
            <w:tcBorders/>
            <w:tcMar>
              <w:top w:w="0" w:type="dxa"/>
              <w:left w:w="0" w:type="dxa"/>
              <w:bottom w:w="0" w:type="dxa"/>
              <w:right w:w="0" w:type="dxa"/>
            </w:tcMar>
            <w:vAlign w:val="center"/>
          </w:tcPr>
          <w:p>
            <w:pPr>
              <w:pStyle w:val="TableContents"/>
              <w:bidi w:val="0"/>
              <w:ind w:left="0" w:right="0" w:firstLine="200"/>
              <w:jc w:val="center"/>
              <w:rPr>
                <w:rFonts w:ascii="sans-serif" w:hAnsi="sans-serif"/>
                <w:b/>
                <w:color w:val="000000"/>
                <w:sz w:val="20"/>
              </w:rPr>
            </w:pPr>
            <w:r>
              <w:rPr>
                <w:rFonts w:ascii="sans-serif" w:hAnsi="sans-serif"/>
                <w:b/>
                <w:color w:val="000000"/>
                <w:sz w:val="20"/>
              </w:rPr>
              <w:t>Finance</w:t>
            </w:r>
          </w:p>
          <w:p>
            <w:pPr>
              <w:pStyle w:val="TableContents"/>
              <w:bidi w:val="0"/>
              <w:spacing w:before="36" w:after="283"/>
              <w:ind w:left="0" w:right="0" w:firstLine="200"/>
              <w:jc w:val="center"/>
              <w:rPr>
                <w:rFonts w:ascii="sans-serif" w:hAnsi="sans-serif"/>
                <w:b/>
                <w:color w:val="000000"/>
                <w:sz w:val="20"/>
              </w:rPr>
            </w:pPr>
            <w:r>
              <w:rPr>
                <w:rFonts w:ascii="sans-serif" w:hAnsi="sans-serif"/>
                <w:b/>
                <w:color w:val="000000"/>
                <w:sz w:val="20"/>
              </w:rPr>
              <w:t>Lease</w:t>
            </w:r>
          </w:p>
        </w:tc>
        <w:tc>
          <w:tcPr>
            <w:tcW w:w="539" w:type="dxa"/>
            <w:tcBorders/>
            <w:tcMar>
              <w:top w:w="0" w:type="dxa"/>
              <w:left w:w="0" w:type="dxa"/>
              <w:bottom w:w="0" w:type="dxa"/>
              <w:right w:w="0" w:type="dxa"/>
            </w:tcMar>
            <w:vAlign w:val="center"/>
          </w:tcPr>
          <w:p>
            <w:pPr>
              <w:pStyle w:val="TableContents"/>
              <w:bidi w:val="0"/>
              <w:spacing w:before="0" w:after="283"/>
              <w:ind w:left="0" w:right="0" w:firstLine="393"/>
              <w:jc w:val="center"/>
              <w:rPr/>
            </w:pPr>
            <w:r>
              <w:rPr/>
              <w:t> </w:t>
            </w:r>
          </w:p>
        </w:tc>
        <w:tc>
          <w:tcPr>
            <w:tcW w:w="1523" w:type="dxa"/>
            <w:tcBorders/>
            <w:tcMar>
              <w:top w:w="0" w:type="dxa"/>
              <w:left w:w="0" w:type="dxa"/>
              <w:bottom w:w="0" w:type="dxa"/>
              <w:right w:w="0" w:type="dxa"/>
            </w:tcMar>
            <w:vAlign w:val="center"/>
          </w:tcPr>
          <w:p>
            <w:pPr>
              <w:pStyle w:val="TableContents"/>
              <w:bidi w:val="0"/>
              <w:spacing w:before="232" w:after="283"/>
              <w:ind w:left="0" w:right="0" w:firstLine="50"/>
              <w:jc w:val="center"/>
              <w:rPr>
                <w:rFonts w:ascii="sans-serif" w:hAnsi="sans-serif"/>
                <w:b/>
                <w:color w:val="000000"/>
                <w:sz w:val="20"/>
              </w:rPr>
            </w:pPr>
            <w:r>
              <w:rPr>
                <w:rFonts w:ascii="sans-serif" w:hAnsi="sans-serif"/>
                <w:b/>
                <w:color w:val="000000"/>
                <w:sz w:val="20"/>
              </w:rPr>
              <w:t>Total</w:t>
            </w:r>
          </w:p>
        </w:tc>
      </w:tr>
      <w:tr>
        <w:trPr/>
        <w:tc>
          <w:tcPr>
            <w:tcW w:w="4101" w:type="dxa"/>
            <w:tcBorders/>
            <w:tcMar>
              <w:top w:w="0" w:type="dxa"/>
              <w:left w:w="0" w:type="dxa"/>
              <w:bottom w:w="0" w:type="dxa"/>
              <w:right w:w="0" w:type="dxa"/>
            </w:tcMar>
            <w:vAlign w:val="center"/>
          </w:tcPr>
          <w:p>
            <w:pPr>
              <w:pStyle w:val="TableContents"/>
              <w:bidi w:val="0"/>
              <w:spacing w:before="22" w:after="283"/>
              <w:ind w:left="0" w:right="0" w:firstLine="50"/>
              <w:jc w:val="left"/>
              <w:rPr>
                <w:rFonts w:ascii="sans-serif" w:hAnsi="sans-serif"/>
                <w:color w:val="000000"/>
                <w:sz w:val="20"/>
              </w:rPr>
            </w:pPr>
            <w:r>
              <w:rPr>
                <w:rFonts w:ascii="sans-serif" w:hAnsi="sans-serif"/>
                <w:color w:val="000000"/>
                <w:sz w:val="20"/>
              </w:rPr>
              <w:t>2026</w:t>
            </w:r>
          </w:p>
        </w:tc>
        <w:tc>
          <w:tcPr>
            <w:tcW w:w="1386" w:type="dxa"/>
            <w:tcBorders/>
            <w:tcMar>
              <w:top w:w="0" w:type="dxa"/>
              <w:left w:w="0" w:type="dxa"/>
              <w:bottom w:w="0" w:type="dxa"/>
              <w:right w:w="0" w:type="dxa"/>
            </w:tcMar>
            <w:vAlign w:val="center"/>
          </w:tcPr>
          <w:p>
            <w:pPr>
              <w:pStyle w:val="TableContents"/>
              <w:bidi w:val="0"/>
              <w:spacing w:before="34" w:after="283"/>
              <w:jc w:val="right"/>
              <w:rPr>
                <w:rFonts w:ascii="sans-serif" w:hAnsi="sans-serif"/>
                <w:color w:val="000000"/>
                <w:sz w:val="20"/>
              </w:rPr>
            </w:pPr>
            <w:r>
              <w:rPr>
                <w:rFonts w:ascii="sans-serif" w:hAnsi="sans-serif"/>
                <w:color w:val="000000"/>
                <w:sz w:val="20"/>
              </w:rPr>
              <w:t>$3,422,857</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34" w:after="283"/>
              <w:jc w:val="right"/>
              <w:rPr>
                <w:rFonts w:ascii="sans-serif" w:hAnsi="sans-serif"/>
                <w:color w:val="000000"/>
                <w:sz w:val="20"/>
              </w:rPr>
            </w:pPr>
            <w:r>
              <w:rPr>
                <w:rFonts w:ascii="sans-serif" w:hAnsi="sans-serif"/>
                <w:color w:val="000000"/>
                <w:sz w:val="20"/>
              </w:rPr>
              <w:t>$519,802</w:t>
            </w:r>
          </w:p>
        </w:tc>
        <w:tc>
          <w:tcPr>
            <w:tcW w:w="5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tcMar>
              <w:top w:w="0" w:type="dxa"/>
              <w:left w:w="0" w:type="dxa"/>
              <w:bottom w:w="0" w:type="dxa"/>
              <w:right w:w="0" w:type="dxa"/>
            </w:tcMar>
            <w:vAlign w:val="center"/>
          </w:tcPr>
          <w:p>
            <w:pPr>
              <w:pStyle w:val="TableContents"/>
              <w:bidi w:val="0"/>
              <w:spacing w:before="34" w:after="283"/>
              <w:ind w:left="0" w:right="0" w:firstLine="50"/>
              <w:jc w:val="right"/>
              <w:rPr>
                <w:rFonts w:ascii="sans-serif" w:hAnsi="sans-serif"/>
                <w:color w:val="000000"/>
                <w:sz w:val="20"/>
              </w:rPr>
            </w:pPr>
            <w:r>
              <w:rPr>
                <w:rFonts w:ascii="sans-serif" w:hAnsi="sans-serif"/>
                <w:color w:val="000000"/>
                <w:sz w:val="20"/>
              </w:rPr>
              <w:t>$3,942,659</w:t>
            </w:r>
          </w:p>
        </w:tc>
      </w:tr>
      <w:tr>
        <w:trPr/>
        <w:tc>
          <w:tcPr>
            <w:tcW w:w="4101" w:type="dxa"/>
            <w:tcBorders/>
            <w:tcMar>
              <w:top w:w="0" w:type="dxa"/>
              <w:left w:w="0" w:type="dxa"/>
              <w:bottom w:w="0" w:type="dxa"/>
              <w:right w:w="0" w:type="dxa"/>
            </w:tcMar>
            <w:vAlign w:val="center"/>
          </w:tcPr>
          <w:p>
            <w:pPr>
              <w:pStyle w:val="TableContents"/>
              <w:bidi w:val="0"/>
              <w:spacing w:before="27" w:after="283"/>
              <w:ind w:left="0" w:right="0" w:firstLine="50"/>
              <w:jc w:val="left"/>
              <w:rPr>
                <w:rFonts w:ascii="sans-serif" w:hAnsi="sans-serif"/>
                <w:color w:val="000000"/>
                <w:sz w:val="20"/>
              </w:rPr>
            </w:pPr>
            <w:r>
              <w:rPr>
                <w:rFonts w:ascii="sans-serif" w:hAnsi="sans-serif"/>
                <w:color w:val="000000"/>
                <w:sz w:val="20"/>
              </w:rPr>
              <w:t>2027</w:t>
            </w:r>
          </w:p>
        </w:tc>
        <w:tc>
          <w:tcPr>
            <w:tcW w:w="1386" w:type="dxa"/>
            <w:tcBorders/>
            <w:tcMar>
              <w:top w:w="0" w:type="dxa"/>
              <w:left w:w="0" w:type="dxa"/>
              <w:bottom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2,290,023</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519,802</w:t>
            </w:r>
          </w:p>
        </w:tc>
        <w:tc>
          <w:tcPr>
            <w:tcW w:w="5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tcMar>
              <w:top w:w="0" w:type="dxa"/>
              <w:left w:w="0" w:type="dxa"/>
              <w:bottom w:w="0" w:type="dxa"/>
              <w:right w:w="0" w:type="dxa"/>
            </w:tcMar>
            <w:vAlign w:val="center"/>
          </w:tcPr>
          <w:p>
            <w:pPr>
              <w:pStyle w:val="TableContents"/>
              <w:bidi w:val="0"/>
              <w:spacing w:before="37" w:after="283"/>
              <w:ind w:left="0" w:right="0" w:firstLine="50"/>
              <w:jc w:val="right"/>
              <w:rPr>
                <w:rFonts w:ascii="sans-serif" w:hAnsi="sans-serif"/>
                <w:color w:val="000000"/>
                <w:sz w:val="20"/>
              </w:rPr>
            </w:pPr>
            <w:r>
              <w:rPr>
                <w:rFonts w:ascii="sans-serif" w:hAnsi="sans-serif"/>
                <w:color w:val="000000"/>
                <w:sz w:val="20"/>
              </w:rPr>
              <w:t>2,809,825</w:t>
            </w:r>
          </w:p>
        </w:tc>
      </w:tr>
      <w:tr>
        <w:trPr/>
        <w:tc>
          <w:tcPr>
            <w:tcW w:w="4101" w:type="dxa"/>
            <w:tcBorders/>
            <w:tcMar>
              <w:top w:w="0" w:type="dxa"/>
              <w:left w:w="0" w:type="dxa"/>
              <w:bottom w:w="0" w:type="dxa"/>
              <w:right w:w="0" w:type="dxa"/>
            </w:tcMar>
            <w:vAlign w:val="center"/>
          </w:tcPr>
          <w:p>
            <w:pPr>
              <w:pStyle w:val="TableContents"/>
              <w:bidi w:val="0"/>
              <w:spacing w:before="25" w:after="283"/>
              <w:ind w:left="0" w:right="0" w:firstLine="50"/>
              <w:jc w:val="left"/>
              <w:rPr>
                <w:rFonts w:ascii="sans-serif" w:hAnsi="sans-serif"/>
                <w:color w:val="000000"/>
                <w:sz w:val="20"/>
              </w:rPr>
            </w:pPr>
            <w:r>
              <w:rPr>
                <w:rFonts w:ascii="sans-serif" w:hAnsi="sans-serif"/>
                <w:color w:val="000000"/>
                <w:sz w:val="20"/>
              </w:rPr>
              <w:t>2028</w:t>
            </w:r>
          </w:p>
        </w:tc>
        <w:tc>
          <w:tcPr>
            <w:tcW w:w="1386" w:type="dxa"/>
            <w:tcBorders/>
            <w:tcMar>
              <w:top w:w="0" w:type="dxa"/>
              <w:left w:w="0" w:type="dxa"/>
              <w:bottom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990,880</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368,924</w:t>
            </w:r>
          </w:p>
        </w:tc>
        <w:tc>
          <w:tcPr>
            <w:tcW w:w="5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tcMar>
              <w:top w:w="0" w:type="dxa"/>
              <w:left w:w="0" w:type="dxa"/>
              <w:bottom w:w="0" w:type="dxa"/>
              <w:right w:w="0" w:type="dxa"/>
            </w:tcMar>
            <w:vAlign w:val="center"/>
          </w:tcPr>
          <w:p>
            <w:pPr>
              <w:pStyle w:val="TableContents"/>
              <w:bidi w:val="0"/>
              <w:spacing w:before="34" w:after="283"/>
              <w:ind w:left="0" w:right="0" w:firstLine="50"/>
              <w:jc w:val="right"/>
              <w:rPr>
                <w:rFonts w:ascii="sans-serif" w:hAnsi="sans-serif"/>
                <w:color w:val="000000"/>
                <w:sz w:val="20"/>
              </w:rPr>
            </w:pPr>
            <w:r>
              <w:rPr>
                <w:rFonts w:ascii="sans-serif" w:hAnsi="sans-serif"/>
                <w:color w:val="000000"/>
                <w:sz w:val="20"/>
              </w:rPr>
              <w:t>1,359,804</w:t>
            </w:r>
          </w:p>
        </w:tc>
      </w:tr>
      <w:tr>
        <w:trPr/>
        <w:tc>
          <w:tcPr>
            <w:tcW w:w="4101" w:type="dxa"/>
            <w:tcBorders/>
            <w:tcMar>
              <w:top w:w="0" w:type="dxa"/>
              <w:left w:w="0" w:type="dxa"/>
              <w:bottom w:w="0" w:type="dxa"/>
              <w:right w:w="0" w:type="dxa"/>
            </w:tcMar>
            <w:vAlign w:val="center"/>
          </w:tcPr>
          <w:p>
            <w:pPr>
              <w:pStyle w:val="TableContents"/>
              <w:bidi w:val="0"/>
              <w:spacing w:before="28" w:after="283"/>
              <w:ind w:left="0" w:right="0" w:firstLine="50"/>
              <w:jc w:val="left"/>
              <w:rPr>
                <w:rFonts w:ascii="sans-serif" w:hAnsi="sans-serif"/>
                <w:color w:val="000000"/>
                <w:sz w:val="20"/>
              </w:rPr>
            </w:pPr>
            <w:r>
              <w:rPr>
                <w:rFonts w:ascii="sans-serif" w:hAnsi="sans-serif"/>
                <w:color w:val="000000"/>
                <w:sz w:val="20"/>
              </w:rPr>
              <w:t>2029</w:t>
            </w:r>
          </w:p>
        </w:tc>
        <w:tc>
          <w:tcPr>
            <w:tcW w:w="1386" w:type="dxa"/>
            <w:tcBorders/>
            <w:tcMar>
              <w:top w:w="0" w:type="dxa"/>
              <w:left w:w="0" w:type="dxa"/>
              <w:bottom w:w="0" w:type="dxa"/>
              <w:right w:w="0" w:type="dxa"/>
            </w:tcMar>
            <w:vAlign w:val="center"/>
          </w:tcPr>
          <w:p>
            <w:pPr>
              <w:pStyle w:val="TableContents"/>
              <w:bidi w:val="0"/>
              <w:spacing w:before="4" w:after="283"/>
              <w:jc w:val="right"/>
              <w:rPr>
                <w:rFonts w:ascii="sans-serif" w:hAnsi="sans-serif"/>
                <w:color w:val="000000"/>
                <w:sz w:val="20"/>
              </w:rPr>
            </w:pPr>
            <w:r>
              <w:rPr>
                <w:rFonts w:ascii="sans-serif" w:hAnsi="sans-serif"/>
                <w:color w:val="000000"/>
                <w:sz w:val="20"/>
              </w:rPr>
              <w:t>524,798</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4" w:after="283"/>
              <w:jc w:val="right"/>
              <w:rPr>
                <w:rFonts w:ascii="sans-serif" w:hAnsi="sans-serif"/>
                <w:color w:val="000000"/>
                <w:sz w:val="20"/>
              </w:rPr>
            </w:pPr>
            <w:r>
              <w:rPr>
                <w:rFonts w:ascii="sans-serif" w:hAnsi="sans-serif"/>
                <w:color w:val="000000"/>
                <w:sz w:val="20"/>
              </w:rPr>
              <w:t>353,331</w:t>
            </w:r>
          </w:p>
        </w:tc>
        <w:tc>
          <w:tcPr>
            <w:tcW w:w="5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tcMar>
              <w:top w:w="0" w:type="dxa"/>
              <w:left w:w="0" w:type="dxa"/>
              <w:bottom w:w="0" w:type="dxa"/>
              <w:right w:w="0" w:type="dxa"/>
            </w:tcMar>
            <w:vAlign w:val="center"/>
          </w:tcPr>
          <w:p>
            <w:pPr>
              <w:pStyle w:val="TableContents"/>
              <w:bidi w:val="0"/>
              <w:spacing w:before="38" w:after="283"/>
              <w:ind w:left="0" w:right="0" w:firstLine="50"/>
              <w:jc w:val="right"/>
              <w:rPr>
                <w:rFonts w:ascii="sans-serif" w:hAnsi="sans-serif"/>
                <w:color w:val="000000"/>
                <w:sz w:val="20"/>
              </w:rPr>
            </w:pPr>
            <w:r>
              <w:rPr>
                <w:rFonts w:ascii="sans-serif" w:hAnsi="sans-serif"/>
                <w:color w:val="000000"/>
                <w:sz w:val="20"/>
              </w:rPr>
              <w:t>878,129</w:t>
            </w:r>
          </w:p>
        </w:tc>
      </w:tr>
      <w:tr>
        <w:trPr/>
        <w:tc>
          <w:tcPr>
            <w:tcW w:w="4101" w:type="dxa"/>
            <w:tcBorders/>
            <w:tcMar>
              <w:top w:w="0" w:type="dxa"/>
              <w:left w:w="0" w:type="dxa"/>
              <w:bottom w:w="0" w:type="dxa"/>
              <w:right w:w="0" w:type="dxa"/>
            </w:tcMar>
            <w:vAlign w:val="center"/>
          </w:tcPr>
          <w:p>
            <w:pPr>
              <w:pStyle w:val="TableContents"/>
              <w:bidi w:val="0"/>
              <w:spacing w:before="25" w:after="283"/>
              <w:ind w:left="0" w:right="0" w:firstLine="50"/>
              <w:jc w:val="left"/>
              <w:rPr>
                <w:rFonts w:ascii="sans-serif" w:hAnsi="sans-serif"/>
                <w:color w:val="000000"/>
                <w:sz w:val="20"/>
              </w:rPr>
            </w:pPr>
            <w:r>
              <w:rPr>
                <w:rFonts w:ascii="sans-serif" w:hAnsi="sans-serif"/>
                <w:color w:val="000000"/>
                <w:sz w:val="20"/>
              </w:rPr>
              <w:t>2030</w:t>
            </w:r>
          </w:p>
        </w:tc>
        <w:tc>
          <w:tcPr>
            <w:tcW w:w="1386" w:type="dxa"/>
            <w:tcBorders>
              <w:bottom w:val="single" w:sz="4" w:space="0" w:color="000000"/>
            </w:tcBorders>
            <w:tcMar>
              <w:top w:w="0" w:type="dxa"/>
              <w:left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267,546</w:t>
            </w:r>
          </w:p>
        </w:tc>
        <w:tc>
          <w:tcPr>
            <w:tcW w:w="3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3" w:after="283"/>
              <w:jc w:val="right"/>
              <w:rPr>
                <w:rFonts w:ascii="sans-serif" w:hAnsi="sans-serif"/>
                <w:color w:val="000000"/>
                <w:sz w:val="20"/>
              </w:rPr>
            </w:pPr>
            <w:r>
              <w:rPr>
                <w:rFonts w:ascii="sans-serif" w:hAnsi="sans-serif"/>
                <w:color w:val="000000"/>
                <w:sz w:val="20"/>
              </w:rPr>
              <w:t>136,354</w:t>
            </w:r>
          </w:p>
        </w:tc>
        <w:tc>
          <w:tcPr>
            <w:tcW w:w="5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23" w:type="dxa"/>
            <w:tcBorders>
              <w:bottom w:val="single" w:sz="4" w:space="0" w:color="000000"/>
            </w:tcBorders>
            <w:tcMar>
              <w:top w:w="0" w:type="dxa"/>
              <w:left w:w="0" w:type="dxa"/>
              <w:right w:w="0" w:type="dxa"/>
            </w:tcMar>
            <w:vAlign w:val="center"/>
          </w:tcPr>
          <w:p>
            <w:pPr>
              <w:pStyle w:val="TableContents"/>
              <w:bidi w:val="0"/>
              <w:spacing w:before="37" w:after="283"/>
              <w:ind w:left="0" w:right="0" w:firstLine="592"/>
              <w:jc w:val="right"/>
              <w:rPr>
                <w:rFonts w:ascii="sans-serif" w:hAnsi="sans-serif"/>
                <w:color w:val="000000"/>
                <w:sz w:val="20"/>
              </w:rPr>
            </w:pPr>
            <w:r>
              <w:rPr>
                <w:rFonts w:ascii="sans-serif" w:hAnsi="sans-serif"/>
                <w:color w:val="000000"/>
                <w:sz w:val="20"/>
              </w:rPr>
              <w:t>403,900</w:t>
            </w:r>
          </w:p>
        </w:tc>
      </w:tr>
      <w:tr>
        <w:trPr/>
        <w:tc>
          <w:tcPr>
            <w:tcW w:w="4101" w:type="dxa"/>
            <w:tcBorders/>
            <w:tcMar>
              <w:top w:w="0" w:type="dxa"/>
              <w:left w:w="0" w:type="dxa"/>
              <w:bottom w:w="0" w:type="dxa"/>
              <w:right w:w="0" w:type="dxa"/>
            </w:tcMar>
            <w:vAlign w:val="center"/>
          </w:tcPr>
          <w:p>
            <w:pPr>
              <w:pStyle w:val="TableContents"/>
              <w:bidi w:val="0"/>
              <w:spacing w:before="63" w:after="283"/>
              <w:ind w:left="0" w:right="0" w:firstLine="592"/>
              <w:jc w:val="left"/>
              <w:rPr>
                <w:rFonts w:ascii="sans-serif" w:hAnsi="sans-serif"/>
                <w:color w:val="000000"/>
                <w:sz w:val="20"/>
              </w:rPr>
            </w:pPr>
            <w:r>
              <w:rPr>
                <w:rFonts w:ascii="sans-serif" w:hAnsi="sans-serif"/>
                <w:color w:val="000000"/>
                <w:sz w:val="20"/>
              </w:rPr>
              <w:t>Total lease payments</w:t>
            </w:r>
          </w:p>
        </w:tc>
        <w:tc>
          <w:tcPr>
            <w:tcW w:w="1386" w:type="dxa"/>
            <w:tcBorders/>
            <w:tcMar>
              <w:top w:w="0" w:type="dxa"/>
              <w:left w:w="0" w:type="dxa"/>
              <w:bottom w:w="0" w:type="dxa"/>
              <w:right w:w="0" w:type="dxa"/>
            </w:tcMar>
            <w:vAlign w:val="center"/>
          </w:tcPr>
          <w:p>
            <w:pPr>
              <w:pStyle w:val="TableContents"/>
              <w:bidi w:val="0"/>
              <w:spacing w:before="75" w:after="283"/>
              <w:jc w:val="right"/>
              <w:rPr>
                <w:rFonts w:ascii="sans-serif" w:hAnsi="sans-serif"/>
                <w:color w:val="000000"/>
                <w:sz w:val="20"/>
              </w:rPr>
            </w:pPr>
            <w:r>
              <w:rPr>
                <w:rFonts w:ascii="sans-serif" w:hAnsi="sans-serif"/>
                <w:color w:val="000000"/>
                <w:sz w:val="20"/>
              </w:rPr>
              <w:t>7,496,104</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75" w:after="283"/>
              <w:jc w:val="right"/>
              <w:rPr>
                <w:rFonts w:ascii="sans-serif" w:hAnsi="sans-serif"/>
                <w:color w:val="000000"/>
                <w:sz w:val="20"/>
              </w:rPr>
            </w:pPr>
            <w:r>
              <w:rPr>
                <w:rFonts w:ascii="sans-serif" w:hAnsi="sans-serif"/>
                <w:color w:val="000000"/>
                <w:sz w:val="20"/>
              </w:rPr>
              <w:t>1,898,213</w:t>
            </w:r>
          </w:p>
        </w:tc>
        <w:tc>
          <w:tcPr>
            <w:tcW w:w="5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tcMar>
              <w:top w:w="0" w:type="dxa"/>
              <w:left w:w="0" w:type="dxa"/>
              <w:bottom w:w="0" w:type="dxa"/>
              <w:right w:w="0" w:type="dxa"/>
            </w:tcMar>
            <w:vAlign w:val="center"/>
          </w:tcPr>
          <w:p>
            <w:pPr>
              <w:pStyle w:val="TableContents"/>
              <w:bidi w:val="0"/>
              <w:spacing w:before="75" w:after="283"/>
              <w:ind w:left="0" w:right="0" w:firstLine="50"/>
              <w:jc w:val="right"/>
              <w:rPr>
                <w:rFonts w:ascii="sans-serif" w:hAnsi="sans-serif"/>
                <w:color w:val="000000"/>
                <w:sz w:val="20"/>
              </w:rPr>
            </w:pPr>
            <w:r>
              <w:rPr>
                <w:rFonts w:ascii="sans-serif" w:hAnsi="sans-serif"/>
                <w:color w:val="000000"/>
                <w:sz w:val="20"/>
              </w:rPr>
              <w:t>9,394,317</w:t>
            </w:r>
          </w:p>
        </w:tc>
      </w:tr>
      <w:tr>
        <w:trPr/>
        <w:tc>
          <w:tcPr>
            <w:tcW w:w="4101" w:type="dxa"/>
            <w:tcBorders/>
            <w:tcMar>
              <w:top w:w="0" w:type="dxa"/>
              <w:left w:w="0" w:type="dxa"/>
              <w:bottom w:w="0" w:type="dxa"/>
              <w:right w:w="0" w:type="dxa"/>
            </w:tcMar>
            <w:vAlign w:val="center"/>
          </w:tcPr>
          <w:p>
            <w:pPr>
              <w:pStyle w:val="TableContents"/>
              <w:bidi w:val="0"/>
              <w:spacing w:before="4" w:after="283"/>
              <w:ind w:left="0" w:right="0" w:firstLine="50"/>
              <w:jc w:val="left"/>
              <w:rPr>
                <w:rFonts w:ascii="sans-serif" w:hAnsi="sans-serif"/>
                <w:color w:val="000000"/>
                <w:sz w:val="20"/>
              </w:rPr>
            </w:pPr>
            <w:r>
              <w:rPr>
                <w:rFonts w:ascii="sans-serif" w:hAnsi="sans-serif"/>
                <w:color w:val="000000"/>
                <w:sz w:val="20"/>
              </w:rPr>
              <w:t>Less: liability accretion/imputed interest</w:t>
            </w:r>
          </w:p>
        </w:tc>
        <w:tc>
          <w:tcPr>
            <w:tcW w:w="13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324,260</w:t>
            </w:r>
          </w:p>
        </w:tc>
        <w:tc>
          <w:tcPr>
            <w:tcW w:w="3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214,332</w:t>
            </w:r>
          </w:p>
        </w:tc>
        <w:tc>
          <w:tcPr>
            <w:tcW w:w="5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23" w:type="dxa"/>
            <w:tcBorders>
              <w:bottom w:val="single" w:sz="4" w:space="0" w:color="000000"/>
            </w:tcBorders>
            <w:tcMar>
              <w:top w:w="0" w:type="dxa"/>
              <w:left w:w="0" w:type="dxa"/>
              <w:right w:w="0" w:type="dxa"/>
            </w:tcMar>
            <w:vAlign w:val="center"/>
          </w:tcPr>
          <w:p>
            <w:pPr>
              <w:pStyle w:val="TableContents"/>
              <w:bidi w:val="0"/>
              <w:spacing w:before="4" w:after="283"/>
              <w:ind w:left="0" w:right="0" w:firstLine="592"/>
              <w:jc w:val="right"/>
              <w:rPr>
                <w:rFonts w:ascii="sans-serif" w:hAnsi="sans-serif"/>
                <w:color w:val="000000"/>
                <w:sz w:val="20"/>
              </w:rPr>
            </w:pPr>
            <w:r>
              <w:rPr>
                <w:rFonts w:ascii="sans-serif" w:hAnsi="sans-serif"/>
                <w:color w:val="000000"/>
                <w:sz w:val="20"/>
              </w:rPr>
              <w:t>538,592</w:t>
            </w:r>
          </w:p>
        </w:tc>
      </w:tr>
      <w:tr>
        <w:trPr/>
        <w:tc>
          <w:tcPr>
            <w:tcW w:w="4101" w:type="dxa"/>
            <w:tcBorders/>
            <w:tcMar>
              <w:top w:w="0" w:type="dxa"/>
              <w:left w:w="0" w:type="dxa"/>
              <w:bottom w:w="0" w:type="dxa"/>
              <w:right w:w="0" w:type="dxa"/>
            </w:tcMar>
            <w:vAlign w:val="center"/>
          </w:tcPr>
          <w:p>
            <w:pPr>
              <w:pStyle w:val="TableContents"/>
              <w:bidi w:val="0"/>
              <w:spacing w:before="63" w:after="283"/>
              <w:ind w:left="0" w:right="0" w:firstLine="592"/>
              <w:jc w:val="left"/>
              <w:rPr>
                <w:rFonts w:ascii="sans-serif" w:hAnsi="sans-serif"/>
                <w:color w:val="000000"/>
                <w:sz w:val="20"/>
              </w:rPr>
            </w:pPr>
            <w:r>
              <w:rPr>
                <w:rFonts w:ascii="sans-serif" w:hAnsi="sans-serif"/>
                <w:color w:val="000000"/>
                <w:sz w:val="20"/>
              </w:rPr>
              <w:t>Total lease liabilities</w:t>
            </w:r>
          </w:p>
        </w:tc>
        <w:tc>
          <w:tcPr>
            <w:tcW w:w="1386" w:type="dxa"/>
            <w:tcBorders/>
            <w:tcMar>
              <w:top w:w="0" w:type="dxa"/>
              <w:left w:w="0" w:type="dxa"/>
              <w:bottom w:w="0" w:type="dxa"/>
              <w:right w:w="0" w:type="dxa"/>
            </w:tcMar>
            <w:vAlign w:val="center"/>
          </w:tcPr>
          <w:p>
            <w:pPr>
              <w:pStyle w:val="TableContents"/>
              <w:bidi w:val="0"/>
              <w:spacing w:before="73" w:after="283"/>
              <w:jc w:val="right"/>
              <w:rPr>
                <w:rFonts w:ascii="sans-serif" w:hAnsi="sans-serif"/>
                <w:color w:val="000000"/>
                <w:sz w:val="20"/>
              </w:rPr>
            </w:pPr>
            <w:r>
              <w:rPr>
                <w:rFonts w:ascii="sans-serif" w:hAnsi="sans-serif"/>
                <w:color w:val="000000"/>
                <w:sz w:val="20"/>
              </w:rPr>
              <w:t>7,171,844</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73" w:after="283"/>
              <w:jc w:val="right"/>
              <w:rPr>
                <w:rFonts w:ascii="sans-serif" w:hAnsi="sans-serif"/>
                <w:color w:val="000000"/>
                <w:sz w:val="20"/>
              </w:rPr>
            </w:pPr>
            <w:r>
              <w:rPr>
                <w:rFonts w:ascii="sans-serif" w:hAnsi="sans-serif"/>
                <w:color w:val="000000"/>
                <w:sz w:val="20"/>
              </w:rPr>
              <w:t>1,683,881</w:t>
            </w:r>
          </w:p>
        </w:tc>
        <w:tc>
          <w:tcPr>
            <w:tcW w:w="539" w:type="dxa"/>
            <w:tcBorders/>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tcMar>
              <w:top w:w="0" w:type="dxa"/>
              <w:left w:w="0" w:type="dxa"/>
              <w:bottom w:w="0" w:type="dxa"/>
              <w:right w:w="0" w:type="dxa"/>
            </w:tcMar>
            <w:vAlign w:val="center"/>
          </w:tcPr>
          <w:p>
            <w:pPr>
              <w:pStyle w:val="TableContents"/>
              <w:bidi w:val="0"/>
              <w:spacing w:before="73" w:after="283"/>
              <w:ind w:left="0" w:right="0" w:firstLine="50"/>
              <w:jc w:val="right"/>
              <w:rPr>
                <w:rFonts w:ascii="sans-serif" w:hAnsi="sans-serif"/>
                <w:color w:val="000000"/>
                <w:sz w:val="20"/>
              </w:rPr>
            </w:pPr>
            <w:r>
              <w:rPr>
                <w:rFonts w:ascii="sans-serif" w:hAnsi="sans-serif"/>
                <w:color w:val="000000"/>
                <w:sz w:val="20"/>
              </w:rPr>
              <w:t>8,855,725</w:t>
            </w:r>
          </w:p>
        </w:tc>
      </w:tr>
      <w:tr>
        <w:trPr/>
        <w:tc>
          <w:tcPr>
            <w:tcW w:w="4101" w:type="dxa"/>
            <w:tcBorders/>
            <w:tcMar>
              <w:top w:w="0" w:type="dxa"/>
              <w:left w:w="0" w:type="dxa"/>
              <w:bottom w:w="0" w:type="dxa"/>
              <w:right w:w="0" w:type="dxa"/>
            </w:tcMar>
            <w:vAlign w:val="center"/>
          </w:tcPr>
          <w:p>
            <w:pPr>
              <w:pStyle w:val="TableContents"/>
              <w:bidi w:val="0"/>
              <w:spacing w:before="1" w:after="283"/>
              <w:ind w:left="0" w:right="0" w:firstLine="50"/>
              <w:jc w:val="left"/>
              <w:rPr>
                <w:rFonts w:ascii="sans-serif" w:hAnsi="sans-serif"/>
                <w:color w:val="000000"/>
                <w:sz w:val="20"/>
              </w:rPr>
            </w:pPr>
            <w:r>
              <w:rPr>
                <w:rFonts w:ascii="sans-serif" w:hAnsi="sans-serif"/>
                <w:color w:val="000000"/>
                <w:sz w:val="20"/>
              </w:rPr>
              <w:t>Less: current lease liabilities</w:t>
            </w:r>
          </w:p>
        </w:tc>
        <w:tc>
          <w:tcPr>
            <w:tcW w:w="1386" w:type="dxa"/>
            <w:tcBorders>
              <w:bottom w:val="single" w:sz="4" w:space="0" w:color="000000"/>
            </w:tcBorders>
            <w:tcMar>
              <w:top w:w="0" w:type="dxa"/>
              <w:left w:w="0" w:type="dxa"/>
              <w:right w:w="0" w:type="dxa"/>
            </w:tcMar>
            <w:vAlign w:val="center"/>
          </w:tcPr>
          <w:p>
            <w:pPr>
              <w:pStyle w:val="TableContents"/>
              <w:bidi w:val="0"/>
              <w:spacing w:before="5" w:after="283"/>
              <w:jc w:val="right"/>
              <w:rPr>
                <w:rFonts w:ascii="sans-serif" w:hAnsi="sans-serif"/>
                <w:color w:val="000000"/>
                <w:sz w:val="20"/>
              </w:rPr>
            </w:pPr>
            <w:r>
              <w:rPr>
                <w:rFonts w:ascii="sans-serif" w:hAnsi="sans-serif"/>
                <w:color w:val="000000"/>
                <w:sz w:val="20"/>
              </w:rPr>
              <w:t>3,259,248</w:t>
            </w:r>
          </w:p>
        </w:tc>
        <w:tc>
          <w:tcPr>
            <w:tcW w:w="3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5" w:after="283"/>
              <w:jc w:val="right"/>
              <w:rPr>
                <w:rFonts w:ascii="sans-serif" w:hAnsi="sans-serif"/>
                <w:color w:val="000000"/>
                <w:sz w:val="20"/>
              </w:rPr>
            </w:pPr>
            <w:r>
              <w:rPr>
                <w:rFonts w:ascii="sans-serif" w:hAnsi="sans-serif"/>
                <w:color w:val="000000"/>
                <w:sz w:val="20"/>
              </w:rPr>
              <w:t>428,469</w:t>
            </w:r>
          </w:p>
        </w:tc>
        <w:tc>
          <w:tcPr>
            <w:tcW w:w="5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23" w:type="dxa"/>
            <w:tcBorders>
              <w:bottom w:val="single" w:sz="4" w:space="0" w:color="000000"/>
            </w:tcBorders>
            <w:tcMar>
              <w:top w:w="0" w:type="dxa"/>
              <w:left w:w="0" w:type="dxa"/>
              <w:right w:w="0" w:type="dxa"/>
            </w:tcMar>
            <w:vAlign w:val="center"/>
          </w:tcPr>
          <w:p>
            <w:pPr>
              <w:pStyle w:val="TableContents"/>
              <w:bidi w:val="0"/>
              <w:spacing w:before="22" w:after="283"/>
              <w:ind w:left="0" w:right="0" w:firstLine="50"/>
              <w:jc w:val="right"/>
              <w:rPr>
                <w:rFonts w:ascii="sans-serif" w:hAnsi="sans-serif"/>
                <w:color w:val="000000"/>
                <w:sz w:val="20"/>
              </w:rPr>
            </w:pPr>
            <w:r>
              <w:rPr>
                <w:rFonts w:ascii="sans-serif" w:hAnsi="sans-serif"/>
                <w:color w:val="000000"/>
                <w:sz w:val="20"/>
              </w:rPr>
              <w:t>3,687,717</w:t>
            </w:r>
          </w:p>
        </w:tc>
      </w:tr>
      <w:tr>
        <w:trPr/>
        <w:tc>
          <w:tcPr>
            <w:tcW w:w="4101" w:type="dxa"/>
            <w:tcBorders/>
            <w:tcMar>
              <w:top w:w="0" w:type="dxa"/>
              <w:left w:w="0" w:type="dxa"/>
              <w:bottom w:w="0" w:type="dxa"/>
              <w:right w:w="0" w:type="dxa"/>
            </w:tcMar>
            <w:vAlign w:val="center"/>
          </w:tcPr>
          <w:p>
            <w:pPr>
              <w:pStyle w:val="TableContents"/>
              <w:bidi w:val="0"/>
              <w:spacing w:before="25" w:after="283"/>
              <w:ind w:left="0" w:right="0" w:firstLine="50"/>
              <w:jc w:val="left"/>
              <w:rPr>
                <w:rFonts w:ascii="sans-serif" w:hAnsi="sans-serif"/>
                <w:color w:val="000000"/>
                <w:sz w:val="20"/>
              </w:rPr>
            </w:pPr>
            <w:r>
              <w:rPr>
                <w:rFonts w:ascii="sans-serif" w:hAnsi="sans-serif"/>
                <w:color w:val="000000"/>
                <w:sz w:val="20"/>
              </w:rPr>
              <w:t>Total long-term lease liabilities</w:t>
            </w:r>
          </w:p>
        </w:tc>
        <w:tc>
          <w:tcPr>
            <w:tcW w:w="1386" w:type="dxa"/>
            <w:tcBorders>
              <w:bottom w:val="double" w:sz="4" w:space="0" w:color="000000"/>
            </w:tcBorders>
            <w:tcMar>
              <w:top w:w="0" w:type="dxa"/>
              <w:left w:w="0" w:type="dxa"/>
              <w:right w:w="0" w:type="dxa"/>
            </w:tcMar>
            <w:vAlign w:val="center"/>
          </w:tcPr>
          <w:p>
            <w:pPr>
              <w:pStyle w:val="TableContents"/>
              <w:bidi w:val="0"/>
              <w:spacing w:before="44" w:after="283"/>
              <w:jc w:val="right"/>
              <w:rPr>
                <w:rFonts w:ascii="sans-serif" w:hAnsi="sans-serif"/>
                <w:color w:val="000000"/>
                <w:sz w:val="20"/>
              </w:rPr>
            </w:pPr>
            <w:r>
              <w:rPr>
                <w:rFonts w:ascii="sans-serif" w:hAnsi="sans-serif"/>
                <w:color w:val="000000"/>
                <w:sz w:val="20"/>
              </w:rPr>
              <w:t>$ 3,912,596</w:t>
            </w:r>
          </w:p>
        </w:tc>
        <w:tc>
          <w:tcPr>
            <w:tcW w:w="3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4" w:space="0" w:color="000000"/>
            </w:tcBorders>
            <w:tcMar>
              <w:top w:w="0" w:type="dxa"/>
              <w:left w:w="0" w:type="dxa"/>
              <w:right w:w="0" w:type="dxa"/>
            </w:tcMar>
            <w:vAlign w:val="center"/>
          </w:tcPr>
          <w:p>
            <w:pPr>
              <w:pStyle w:val="TableContents"/>
              <w:bidi w:val="0"/>
              <w:spacing w:before="44" w:after="283"/>
              <w:jc w:val="right"/>
              <w:rPr>
                <w:rFonts w:ascii="sans-serif" w:hAnsi="sans-serif"/>
                <w:color w:val="000000"/>
                <w:sz w:val="20"/>
              </w:rPr>
            </w:pPr>
            <w:r>
              <w:rPr>
                <w:rFonts w:ascii="sans-serif" w:hAnsi="sans-serif"/>
                <w:color w:val="000000"/>
                <w:sz w:val="20"/>
              </w:rPr>
              <w:t>$1,255,412</w:t>
            </w:r>
          </w:p>
        </w:tc>
        <w:tc>
          <w:tcPr>
            <w:tcW w:w="539"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523" w:type="dxa"/>
            <w:tcBorders>
              <w:bottom w:val="double" w:sz="4" w:space="0" w:color="000000"/>
            </w:tcBorders>
            <w:tcMar>
              <w:top w:w="0" w:type="dxa"/>
              <w:left w:w="0" w:type="dxa"/>
              <w:right w:w="0" w:type="dxa"/>
            </w:tcMar>
            <w:vAlign w:val="center"/>
          </w:tcPr>
          <w:p>
            <w:pPr>
              <w:pStyle w:val="TableContents"/>
              <w:bidi w:val="0"/>
              <w:spacing w:before="44" w:after="283"/>
              <w:jc w:val="right"/>
              <w:rPr>
                <w:rFonts w:ascii="sans-serif" w:hAnsi="sans-serif"/>
                <w:color w:val="000000"/>
                <w:sz w:val="20"/>
              </w:rPr>
            </w:pPr>
            <w:r>
              <w:rPr>
                <w:rFonts w:ascii="sans-serif" w:hAnsi="sans-serif"/>
                <w:color w:val="000000"/>
                <w:sz w:val="20"/>
              </w:rPr>
              <w:t>$5,168,008</w:t>
            </w:r>
          </w:p>
        </w:tc>
      </w:tr>
    </w:tbl>
    <w:p>
      <w:pPr>
        <w:pStyle w:val="TextBody"/>
        <w:bidi w:val="0"/>
        <w:spacing w:before="191" w:after="283"/>
        <w:jc w:val="left"/>
        <w:rPr>
          <w:rFonts w:ascii="sans-serif" w:hAnsi="sans-serif"/>
          <w:b/>
          <w:color w:val="000000"/>
          <w:sz w:val="20"/>
        </w:rPr>
      </w:pPr>
      <w:r>
        <w:rPr>
          <w:rFonts w:ascii="sans-serif" w:hAnsi="sans-serif"/>
          <w:b/>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91" w:after="283"/>
        <w:jc w:val="left"/>
        <w:rPr>
          <w:rFonts w:ascii="sans-serif" w:hAnsi="sans-serif"/>
          <w:b/>
          <w:color w:val="000000"/>
          <w:sz w:val="20"/>
        </w:rPr>
      </w:pPr>
      <w:r>
        <w:rPr>
          <w:rFonts w:ascii="sans-serif" w:hAnsi="sans-serif"/>
          <w:b/>
          <w:color w:val="000000"/>
          <w:sz w:val="20"/>
        </w:rPr>
        <w:t>COMMITMENTS AND CONTINGENCIES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6" w:after="283"/>
        <w:jc w:val="left"/>
        <w:rPr>
          <w:rFonts w:ascii="Times New Roman" w:hAnsi="Times New Roman"/>
          <w:sz w:val="20"/>
        </w:rPr>
      </w:pPr>
      <w:r>
        <w:rPr>
          <w:rFonts w:ascii="sans-serif" w:hAnsi="sans-serif"/>
          <w:b/>
          <w:color w:val="000000"/>
          <w:sz w:val="20"/>
        </w:rPr>
        <w:t>Leases</w:t>
      </w:r>
      <w:r>
        <w:rPr>
          <w:rFonts w:ascii="sans-serif" w:hAnsi="sans-serif"/>
          <w:color w:val="000000"/>
          <w:sz w:val="20"/>
        </w:rPr>
        <w:t>:</w:t>
      </w:r>
    </w:p>
    <w:p>
      <w:pPr>
        <w:pStyle w:val="TextBody"/>
        <w:bidi w:val="0"/>
        <w:spacing w:before="120" w:after="283"/>
        <w:jc w:val="both"/>
        <w:rPr>
          <w:rFonts w:ascii="sans-serif" w:hAnsi="sans-serif"/>
          <w:color w:val="000000"/>
          <w:sz w:val="20"/>
        </w:rPr>
      </w:pPr>
      <w:r>
        <w:rPr>
          <w:rFonts w:ascii="sans-serif" w:hAnsi="sans-serif"/>
          <w:color w:val="000000"/>
          <w:sz w:val="20"/>
        </w:rPr>
        <w:t>The Company leases office spaces under non-cancelable operating lease agreements, which expire from 2025 through 2030. The Company is required to pay property taxes, insurance, and normal maintenance costs for certain of these facilities and will be required to pay any increases over the base year of these expenses on the remainder of the Company’s facilities.</w:t>
      </w:r>
    </w:p>
    <w:p>
      <w:pPr>
        <w:pStyle w:val="TextBody"/>
        <w:bidi w:val="0"/>
        <w:spacing w:before="118" w:after="283"/>
        <w:jc w:val="both"/>
        <w:rPr>
          <w:rFonts w:ascii="sans-serif" w:hAnsi="sans-serif"/>
          <w:b/>
          <w:color w:val="000000"/>
          <w:sz w:val="20"/>
        </w:rPr>
      </w:pPr>
      <w:r>
        <w:rPr>
          <w:rFonts w:ascii="sans-serif" w:hAnsi="sans-serif"/>
          <w:b/>
          <w:color w:val="000000"/>
          <w:sz w:val="20"/>
        </w:rPr>
        <w:t>Sales Tax:</w:t>
      </w:r>
    </w:p>
    <w:p>
      <w:pPr>
        <w:pStyle w:val="TextBody"/>
        <w:bidi w:val="0"/>
        <w:spacing w:before="121" w:after="283"/>
        <w:jc w:val="both"/>
        <w:rPr>
          <w:rFonts w:ascii="sans-serif" w:hAnsi="sans-serif"/>
          <w:color w:val="000000"/>
          <w:sz w:val="20"/>
        </w:rPr>
      </w:pPr>
      <w:r>
        <w:rPr>
          <w:rFonts w:ascii="sans-serif" w:hAnsi="sans-serif"/>
          <w:color w:val="000000"/>
          <w:sz w:val="20"/>
        </w:rPr>
        <w:t>From time to time, the Company may be subject to various sales tax assessments, audits, and claims. In connection with ongoing state and local tax compliance and recent economic nexus evaluations, the Company has identified potential sales and use tax liabilities in various jurisdictions.</w:t>
      </w:r>
    </w:p>
    <w:p>
      <w:pPr>
        <w:pStyle w:val="TextBody"/>
        <w:bidi w:val="0"/>
        <w:spacing w:before="41" w:after="283"/>
        <w:jc w:val="both"/>
        <w:rPr>
          <w:rFonts w:ascii="Times New Roman" w:hAnsi="Times New Roman"/>
          <w:sz w:val="20"/>
        </w:rPr>
      </w:pPr>
      <w:r>
        <w:rPr>
          <w:rFonts w:ascii="sans-serif" w:hAnsi="sans-serif"/>
          <w:i/>
          <w:color w:val="000000"/>
          <w:sz w:val="20"/>
        </w:rPr>
        <w:t xml:space="preserve">Subscription — </w:t>
      </w:r>
      <w:r>
        <w:rPr>
          <w:rFonts w:ascii="sans-serif" w:hAnsi="sans-serif"/>
          <w:color w:val="000000"/>
          <w:sz w:val="20"/>
        </w:rPr>
        <w:t>The Company determined that it was required to pay sales and use tax in various jurisdictions. Accordingly, the Company has recorded a liability of $1,723,775 and $1,664,993 as of December 31, 2025, and 2024, respectively for the amount it estimates that it did not collect from customers. If these jurisdictions determine that additional amounts are necessary, the Company will be required to pay accordingly. Sales tax expense is included in general and administrative expenses on the combined and consolidated statement of operations.</w:t>
      </w:r>
    </w:p>
    <w:p>
      <w:pPr>
        <w:pStyle w:val="TextBody"/>
        <w:bidi w:val="0"/>
        <w:spacing w:before="119" w:after="283"/>
        <w:jc w:val="both"/>
        <w:rPr>
          <w:rFonts w:ascii="Times New Roman" w:hAnsi="Times New Roman"/>
          <w:sz w:val="20"/>
        </w:rPr>
      </w:pPr>
      <w:r>
        <w:rPr>
          <w:rFonts w:ascii="sans-serif" w:hAnsi="sans-serif"/>
          <w:i/>
          <w:color w:val="000000"/>
          <w:sz w:val="20"/>
        </w:rPr>
        <w:t xml:space="preserve">EZ Pay — </w:t>
      </w:r>
      <w:r>
        <w:rPr>
          <w:rFonts w:ascii="sans-serif" w:hAnsi="sans-serif"/>
          <w:color w:val="000000"/>
          <w:sz w:val="20"/>
        </w:rPr>
        <w:t>Based on the interpretation of state tax regulations the Company believes it is reasonably possible that a sales and use tax liability has been incurred for certain revenue streams. However, the Company is currently unable to reasonably estimate the ultimate amount or range of this potential loss. The inability to estimate the liability is primarily driven by complexities related to sales sourcing rules, specifically the varying, jurisdiction-specific criteria for classifying and assigning customer transactions across multiple taxing authorities.</w:t>
      </w:r>
    </w:p>
    <w:p>
      <w:pPr>
        <w:pStyle w:val="TextBody"/>
        <w:bidi w:val="0"/>
        <w:spacing w:before="121" w:after="283"/>
        <w:jc w:val="both"/>
        <w:rPr>
          <w:rFonts w:ascii="sans-serif" w:hAnsi="sans-serif"/>
          <w:color w:val="000000"/>
          <w:sz w:val="20"/>
        </w:rPr>
      </w:pPr>
      <w:r>
        <w:rPr>
          <w:rFonts w:ascii="sans-serif" w:hAnsi="sans-serif"/>
          <w:color w:val="000000"/>
          <w:sz w:val="20"/>
        </w:rPr>
        <w:t>Because the ultimate sourcing determinations and corresponding assessment methodologies remain subject to significant ongoing uncertainty, the Company cannot determine a reliable estimate of the liability. The Company continues to evaluate its historical transactions and filing positions and will record an accrual in the period that the liability becomes probable and reasonably estimable.</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sz w:val="20"/>
        </w:rPr>
      </w:pPr>
      <w:r>
        <w:rPr>
          <w:rFonts w:ascii="sans-serif" w:hAnsi="sans-serif"/>
          <w:b/>
          <w:color w:val="000000"/>
          <w:sz w:val="20"/>
        </w:rPr>
        <w:t>Litigation</w:t>
      </w:r>
      <w:r>
        <w:rPr>
          <w:rFonts w:ascii="sans-serif" w:hAnsi="sans-serif"/>
          <w:color w:val="000000"/>
          <w:sz w:val="20"/>
        </w:rPr>
        <w:t>:</w:t>
      </w:r>
    </w:p>
    <w:p>
      <w:pPr>
        <w:pStyle w:val="TextBody"/>
        <w:bidi w:val="0"/>
        <w:spacing w:before="121" w:after="283"/>
        <w:jc w:val="both"/>
        <w:rPr>
          <w:rFonts w:ascii="sans-serif" w:hAnsi="sans-serif"/>
          <w:color w:val="000000"/>
          <w:sz w:val="20"/>
        </w:rPr>
      </w:pPr>
      <w:r>
        <w:rPr>
          <w:rFonts w:ascii="sans-serif" w:hAnsi="sans-serif"/>
          <w:color w:val="000000"/>
          <w:sz w:val="20"/>
        </w:rPr>
        <w:t>From time to time, the Company may become involved in various legal proceedings in the ordinary course of its business and may be subject to third-party infringement claims. 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pStyle w:val="TextBody"/>
        <w:bidi w:val="0"/>
        <w:spacing w:before="119" w:after="283"/>
        <w:jc w:val="both"/>
        <w:rPr>
          <w:rFonts w:ascii="sans-serif" w:hAnsi="sans-serif"/>
          <w:color w:val="000000"/>
          <w:sz w:val="20"/>
        </w:rPr>
      </w:pPr>
      <w:r>
        <w:rPr>
          <w:rFonts w:ascii="sans-serif" w:hAnsi="sans-serif"/>
          <w:color w:val="000000"/>
          <w:sz w:val="20"/>
        </w:rPr>
        <w:t>From time to time, the Company is subject to various claims that arise in the ordinary course of business. Management believes that any liability of the Company that may arise out of or with respect to these matters will not materially adversely affect the financial position, results of operations, or cash flows of the Company.</w:t>
      </w:r>
    </w:p>
    <w:p>
      <w:pPr>
        <w:pStyle w:val="TextBody"/>
        <w:bidi w:val="0"/>
        <w:spacing w:before="120" w:after="283"/>
        <w:jc w:val="left"/>
        <w:rPr>
          <w:rFonts w:ascii="sans-serif" w:hAnsi="sans-serif"/>
          <w:b/>
          <w:color w:val="000000"/>
          <w:sz w:val="20"/>
        </w:rPr>
      </w:pPr>
      <w:r>
        <w:rPr>
          <w:rFonts w:ascii="sans-serif" w:hAnsi="sans-serif"/>
          <w:b/>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sans-serif" w:hAnsi="sans-serif"/>
          <w:b/>
          <w:color w:val="000000"/>
          <w:sz w:val="20"/>
        </w:rPr>
      </w:pPr>
      <w:r>
        <w:rPr>
          <w:rFonts w:ascii="sans-serif" w:hAnsi="sans-serif"/>
          <w:b/>
          <w:color w:val="000000"/>
          <w:sz w:val="20"/>
        </w:rPr>
        <w:t>COMMON STOCK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sans-serif" w:hAnsi="sans-serif"/>
          <w:color w:val="000000"/>
          <w:sz w:val="20"/>
        </w:rPr>
      </w:pPr>
      <w:r>
        <w:rPr>
          <w:rFonts w:ascii="sans-serif" w:hAnsi="sans-serif"/>
          <w:color w:val="000000"/>
          <w:sz w:val="20"/>
        </w:rPr>
        <w:t>As of December 31, 2025, and 2024, the Company had 10,000,000 shares of common stock authorized and 3,912,977 shares of common stock issued for purposes of satisfying conversion of preferred stock, the exercise of warrants, the exercise and future grant of common stock options, and for purposes of any future business acquisitions and transactions.</w:t>
      </w:r>
    </w:p>
    <w:p>
      <w:pPr>
        <w:pStyle w:val="TextBody"/>
        <w:bidi w:val="0"/>
        <w:spacing w:before="121" w:after="283"/>
        <w:jc w:val="left"/>
        <w:rPr>
          <w:rFonts w:ascii="sans-serif" w:hAnsi="sans-serif"/>
          <w:b/>
          <w:color w:val="000000"/>
          <w:sz w:val="20"/>
        </w:rPr>
      </w:pPr>
      <w:r>
        <w:rPr>
          <w:rFonts w:ascii="sans-serif" w:hAnsi="sans-serif"/>
          <w:b/>
          <w:color w:val="000000"/>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1" w:after="283"/>
        <w:jc w:val="left"/>
        <w:rPr>
          <w:rFonts w:ascii="sans-serif" w:hAnsi="sans-serif"/>
          <w:b/>
          <w:color w:val="000000"/>
          <w:sz w:val="20"/>
        </w:rPr>
      </w:pPr>
      <w:r>
        <w:rPr>
          <w:rFonts w:ascii="sans-serif" w:hAnsi="sans-serif"/>
          <w:b/>
          <w:color w:val="000000"/>
          <w:sz w:val="20"/>
        </w:rPr>
        <w:t>INCOME TAXES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sans-serif" w:hAnsi="sans-serif"/>
          <w:color w:val="000000"/>
          <w:sz w:val="20"/>
        </w:rPr>
      </w:pPr>
      <w:r>
        <w:rPr>
          <w:rFonts w:ascii="sans-serif" w:hAnsi="sans-serif"/>
          <w:color w:val="000000"/>
          <w:sz w:val="20"/>
        </w:rPr>
        <w:t>The provision (benefit) for Federal, state, local and foreign income taxes consisted of:</w:t>
      </w:r>
    </w:p>
    <w:p>
      <w:pPr>
        <w:pStyle w:val="TextBody"/>
        <w:bidi w:val="0"/>
        <w:spacing w:before="2" w:after="283"/>
        <w:jc w:val="left"/>
        <w:rPr/>
      </w:pPr>
      <w:r>
        <w:rPr/>
        <w:t> </w:t>
      </w:r>
    </w:p>
    <w:tbl>
      <w:tblPr>
        <w:tblW w:w="5483" w:type="dxa"/>
        <w:jc w:val="left"/>
        <w:tblInd w:w="0" w:type="dxa"/>
        <w:tblLayout w:type="fixed"/>
        <w:tblCellMar>
          <w:top w:w="28" w:type="dxa"/>
          <w:left w:w="28" w:type="dxa"/>
          <w:bottom w:w="28" w:type="dxa"/>
          <w:right w:w="28" w:type="dxa"/>
        </w:tblCellMar>
      </w:tblPr>
      <w:tblGrid>
        <w:gridCol w:w="2781"/>
        <w:gridCol w:w="1291"/>
        <w:gridCol w:w="1411"/>
      </w:tblGrid>
      <w:tr>
        <w:trPr/>
        <w:tc>
          <w:tcPr>
            <w:tcW w:w="278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781" w:type="dxa"/>
            <w:tcBorders/>
            <w:tcMar>
              <w:top w:w="0" w:type="dxa"/>
              <w:left w:w="0" w:type="dxa"/>
              <w:bottom w:w="0" w:type="dxa"/>
              <w:right w:w="0" w:type="dxa"/>
            </w:tcMar>
            <w:vAlign w:val="center"/>
          </w:tcPr>
          <w:p>
            <w:pPr>
              <w:pStyle w:val="TableContents"/>
              <w:bidi w:val="0"/>
              <w:spacing w:before="0" w:after="283"/>
              <w:ind w:left="0" w:right="0" w:firstLine="332"/>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ind w:left="0" w:right="0" w:firstLine="332"/>
              <w:jc w:val="center"/>
              <w:rPr>
                <w:rFonts w:ascii="sans-serif" w:hAnsi="sans-serif"/>
                <w:b/>
                <w:color w:val="000000"/>
                <w:sz w:val="20"/>
              </w:rPr>
            </w:pPr>
            <w:r>
              <w:rPr>
                <w:rFonts w:ascii="sans-serif" w:hAnsi="sans-serif"/>
                <w:b/>
                <w:color w:val="000000"/>
                <w:sz w:val="20"/>
              </w:rPr>
              <w:t>2025</w:t>
            </w:r>
          </w:p>
        </w:tc>
        <w:tc>
          <w:tcPr>
            <w:tcW w:w="1411" w:type="dxa"/>
            <w:tcBorders/>
            <w:tcMar>
              <w:top w:w="0" w:type="dxa"/>
              <w:left w:w="0" w:type="dxa"/>
              <w:bottom w:w="0" w:type="dxa"/>
              <w:right w:w="0" w:type="dxa"/>
            </w:tcMar>
            <w:vAlign w:val="center"/>
          </w:tcPr>
          <w:p>
            <w:pPr>
              <w:pStyle w:val="TableContents"/>
              <w:bidi w:val="0"/>
              <w:spacing w:before="0" w:after="283"/>
              <w:ind w:left="0" w:right="0" w:firstLine="50"/>
              <w:jc w:val="center"/>
              <w:rPr>
                <w:rFonts w:ascii="sans-serif" w:hAnsi="sans-serif"/>
                <w:b/>
                <w:color w:val="000000"/>
                <w:sz w:val="20"/>
              </w:rPr>
            </w:pPr>
            <w:r>
              <w:rPr>
                <w:rFonts w:ascii="sans-serif" w:hAnsi="sans-serif"/>
                <w:b/>
                <w:color w:val="000000"/>
                <w:sz w:val="20"/>
              </w:rPr>
              <w:t>2024</w:t>
            </w:r>
          </w:p>
        </w:tc>
      </w:tr>
      <w:tr>
        <w:trPr/>
        <w:tc>
          <w:tcPr>
            <w:tcW w:w="2781" w:type="dxa"/>
            <w:tcBorders/>
            <w:tcMar>
              <w:top w:w="0" w:type="dxa"/>
              <w:left w:w="0" w:type="dxa"/>
              <w:bottom w:w="0" w:type="dxa"/>
              <w:right w:w="0" w:type="dxa"/>
            </w:tcMar>
            <w:vAlign w:val="center"/>
          </w:tcPr>
          <w:p>
            <w:pPr>
              <w:pStyle w:val="TableContents"/>
              <w:bidi w:val="0"/>
              <w:spacing w:before="41" w:after="283"/>
              <w:ind w:left="0" w:right="0" w:firstLine="50"/>
              <w:jc w:val="left"/>
              <w:rPr>
                <w:rFonts w:ascii="sans-serif" w:hAnsi="sans-serif"/>
                <w:color w:val="000000"/>
                <w:sz w:val="20"/>
              </w:rPr>
            </w:pPr>
            <w:r>
              <w:rPr>
                <w:rFonts w:ascii="sans-serif" w:hAnsi="sans-serif"/>
                <w:color w:val="000000"/>
                <w:sz w:val="20"/>
              </w:rPr>
              <w:t>Current:</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2781" w:type="dxa"/>
            <w:tcBorders/>
            <w:tcMar>
              <w:top w:w="0" w:type="dxa"/>
              <w:left w:w="0" w:type="dxa"/>
              <w:bottom w:w="0" w:type="dxa"/>
              <w:right w:w="0" w:type="dxa"/>
            </w:tcMar>
            <w:vAlign w:val="center"/>
          </w:tcPr>
          <w:p>
            <w:pPr>
              <w:pStyle w:val="TableContents"/>
              <w:bidi w:val="0"/>
              <w:spacing w:before="41" w:after="283"/>
              <w:ind w:left="0" w:right="0" w:firstLine="150"/>
              <w:jc w:val="left"/>
              <w:rPr>
                <w:rFonts w:ascii="sans-serif" w:hAnsi="sans-serif"/>
                <w:color w:val="000000"/>
                <w:sz w:val="20"/>
              </w:rPr>
            </w:pPr>
            <w:r>
              <w:rPr>
                <w:rFonts w:ascii="sans-serif" w:hAnsi="sans-serif"/>
                <w:color w:val="000000"/>
                <w:sz w:val="20"/>
              </w:rPr>
              <w:t>State and local</w:t>
            </w:r>
          </w:p>
        </w:tc>
        <w:tc>
          <w:tcPr>
            <w:tcW w:w="1291" w:type="dxa"/>
            <w:tcBorders/>
            <w:tcMar>
              <w:top w:w="0" w:type="dxa"/>
              <w:left w:w="0" w:type="dxa"/>
              <w:bottom w:w="0" w:type="dxa"/>
              <w:right w:w="0" w:type="dxa"/>
            </w:tcMar>
            <w:vAlign w:val="center"/>
          </w:tcPr>
          <w:p>
            <w:pPr>
              <w:pStyle w:val="TableContents"/>
              <w:bidi w:val="0"/>
              <w:spacing w:before="41" w:after="283"/>
              <w:jc w:val="right"/>
              <w:rPr>
                <w:rFonts w:ascii="sans-serif" w:hAnsi="sans-serif"/>
                <w:color w:val="000000"/>
                <w:sz w:val="20"/>
              </w:rPr>
            </w:pPr>
            <w:r>
              <w:rPr>
                <w:rFonts w:ascii="sans-serif" w:hAnsi="sans-serif"/>
                <w:color w:val="000000"/>
                <w:sz w:val="20"/>
              </w:rPr>
              <w:t>$333,952</w:t>
            </w:r>
          </w:p>
        </w:tc>
        <w:tc>
          <w:tcPr>
            <w:tcW w:w="1411" w:type="dxa"/>
            <w:tcBorders/>
            <w:tcMar>
              <w:top w:w="0" w:type="dxa"/>
              <w:left w:w="0" w:type="dxa"/>
              <w:bottom w:w="0" w:type="dxa"/>
              <w:right w:w="0" w:type="dxa"/>
            </w:tcMar>
            <w:vAlign w:val="center"/>
          </w:tcPr>
          <w:p>
            <w:pPr>
              <w:pStyle w:val="TableContents"/>
              <w:bidi w:val="0"/>
              <w:spacing w:before="41" w:after="283"/>
              <w:ind w:left="0" w:right="0" w:firstLine="150"/>
              <w:jc w:val="right"/>
              <w:rPr>
                <w:rFonts w:ascii="sans-serif" w:hAnsi="sans-serif"/>
                <w:color w:val="000000"/>
                <w:sz w:val="20"/>
              </w:rPr>
            </w:pPr>
            <w:r>
              <w:rPr>
                <w:rFonts w:ascii="sans-serif" w:hAnsi="sans-serif"/>
                <w:color w:val="000000"/>
                <w:sz w:val="20"/>
              </w:rPr>
              <w:t>$668,352</w:t>
            </w:r>
          </w:p>
        </w:tc>
      </w:tr>
      <w:tr>
        <w:trPr/>
        <w:tc>
          <w:tcPr>
            <w:tcW w:w="2781" w:type="dxa"/>
            <w:tcBorders/>
            <w:tcMar>
              <w:top w:w="0" w:type="dxa"/>
              <w:left w:w="0" w:type="dxa"/>
              <w:bottom w:w="0" w:type="dxa"/>
              <w:right w:w="0" w:type="dxa"/>
            </w:tcMar>
            <w:vAlign w:val="center"/>
          </w:tcPr>
          <w:p>
            <w:pPr>
              <w:pStyle w:val="TableContents"/>
              <w:bidi w:val="0"/>
              <w:spacing w:before="40" w:after="283"/>
              <w:ind w:left="0" w:right="0" w:firstLine="150"/>
              <w:jc w:val="left"/>
              <w:rPr>
                <w:rFonts w:ascii="sans-serif" w:hAnsi="sans-serif"/>
                <w:color w:val="000000"/>
                <w:sz w:val="20"/>
              </w:rPr>
            </w:pPr>
            <w:r>
              <w:rPr>
                <w:rFonts w:ascii="sans-serif" w:hAnsi="sans-serif"/>
                <w:color w:val="000000"/>
                <w:sz w:val="20"/>
              </w:rPr>
              <w:t>Foreign</w:t>
            </w:r>
          </w:p>
        </w:tc>
        <w:tc>
          <w:tcPr>
            <w:tcW w:w="1291" w:type="dxa"/>
            <w:tcBorders/>
            <w:tcMar>
              <w:top w:w="0" w:type="dxa"/>
              <w:left w:w="0" w:type="dxa"/>
              <w:bottom w:w="0" w:type="dxa"/>
              <w:right w:w="0" w:type="dxa"/>
            </w:tcMar>
            <w:vAlign w:val="center"/>
          </w:tcPr>
          <w:p>
            <w:pPr>
              <w:pStyle w:val="TableContents"/>
              <w:bidi w:val="0"/>
              <w:spacing w:before="41" w:after="283"/>
              <w:jc w:val="right"/>
              <w:rPr>
                <w:rFonts w:ascii="sans-serif" w:hAnsi="sans-serif"/>
                <w:color w:val="000000"/>
                <w:sz w:val="20"/>
              </w:rPr>
            </w:pPr>
            <w:r>
              <w:rPr>
                <w:rFonts w:ascii="sans-serif" w:hAnsi="sans-serif"/>
                <w:color w:val="000000"/>
                <w:sz w:val="20"/>
              </w:rPr>
              <w:t>3,853,561</w:t>
            </w:r>
          </w:p>
        </w:tc>
        <w:tc>
          <w:tcPr>
            <w:tcW w:w="1411" w:type="dxa"/>
            <w:tcBorders/>
            <w:tcMar>
              <w:top w:w="0" w:type="dxa"/>
              <w:left w:w="0" w:type="dxa"/>
              <w:bottom w:w="0" w:type="dxa"/>
              <w:right w:w="0" w:type="dxa"/>
            </w:tcMar>
            <w:vAlign w:val="center"/>
          </w:tcPr>
          <w:p>
            <w:pPr>
              <w:pStyle w:val="TableContents"/>
              <w:bidi w:val="0"/>
              <w:spacing w:before="41" w:after="283"/>
              <w:ind w:left="0" w:right="0" w:firstLine="150"/>
              <w:jc w:val="right"/>
              <w:rPr>
                <w:rFonts w:ascii="sans-serif" w:hAnsi="sans-serif"/>
                <w:color w:val="000000"/>
                <w:sz w:val="20"/>
              </w:rPr>
            </w:pPr>
            <w:r>
              <w:rPr>
                <w:rFonts w:ascii="sans-serif" w:hAnsi="sans-serif"/>
                <w:color w:val="000000"/>
                <w:sz w:val="20"/>
              </w:rPr>
              <w:t>3,904,799</w:t>
            </w:r>
          </w:p>
        </w:tc>
      </w:tr>
      <w:tr>
        <w:trPr/>
        <w:tc>
          <w:tcPr>
            <w:tcW w:w="2781" w:type="dxa"/>
            <w:tcBorders/>
            <w:tcMar>
              <w:top w:w="0" w:type="dxa"/>
              <w:left w:w="0" w:type="dxa"/>
              <w:bottom w:w="0" w:type="dxa"/>
              <w:right w:w="0" w:type="dxa"/>
            </w:tcMar>
            <w:vAlign w:val="center"/>
          </w:tcPr>
          <w:p>
            <w:pPr>
              <w:pStyle w:val="TableContents"/>
              <w:bidi w:val="0"/>
              <w:spacing w:before="41" w:after="283"/>
              <w:ind w:left="0" w:right="0" w:firstLine="150"/>
              <w:jc w:val="left"/>
              <w:rPr>
                <w:rFonts w:ascii="sans-serif" w:hAnsi="sans-serif"/>
                <w:color w:val="000000"/>
                <w:sz w:val="20"/>
              </w:rPr>
            </w:pPr>
            <w:r>
              <w:rPr>
                <w:rFonts w:ascii="sans-serif" w:hAnsi="sans-serif"/>
                <w:color w:val="000000"/>
                <w:sz w:val="20"/>
              </w:rPr>
              <w:t>Federal</w:t>
            </w:r>
          </w:p>
        </w:tc>
        <w:tc>
          <w:tcPr>
            <w:tcW w:w="1291" w:type="dxa"/>
            <w:tcBorders>
              <w:bottom w:val="single" w:sz="4" w:space="0" w:color="000000"/>
            </w:tcBorders>
            <w:tcMar>
              <w:top w:w="0" w:type="dxa"/>
              <w:left w:w="0" w:type="dxa"/>
              <w:right w:w="0" w:type="dxa"/>
            </w:tcMar>
            <w:vAlign w:val="center"/>
          </w:tcPr>
          <w:p>
            <w:pPr>
              <w:pStyle w:val="TableContents"/>
              <w:bidi w:val="0"/>
              <w:spacing w:before="41" w:after="283"/>
              <w:jc w:val="right"/>
              <w:rPr>
                <w:color w:val="000000"/>
              </w:rPr>
            </w:pPr>
            <w:r>
              <w:rPr>
                <w:color w:val="000000"/>
              </w:rPr>
              <w:t> </w:t>
            </w:r>
            <w:r>
              <w:rPr>
                <w:rFonts w:ascii="sans-serif" w:hAnsi="sans-serif"/>
                <w:color w:val="000000"/>
                <w:sz w:val="20"/>
              </w:rPr>
              <w:t>(1,716,628)</w:t>
            </w:r>
          </w:p>
        </w:tc>
        <w:tc>
          <w:tcPr>
            <w:tcW w:w="1411" w:type="dxa"/>
            <w:tcBorders>
              <w:bottom w:val="single" w:sz="4" w:space="0" w:color="000000"/>
            </w:tcBorders>
            <w:tcMar>
              <w:top w:w="0" w:type="dxa"/>
              <w:left w:w="0" w:type="dxa"/>
              <w:right w:w="0" w:type="dxa"/>
            </w:tcMar>
            <w:vAlign w:val="center"/>
          </w:tcPr>
          <w:p>
            <w:pPr>
              <w:pStyle w:val="TableContents"/>
              <w:bidi w:val="0"/>
              <w:spacing w:before="41" w:after="283"/>
              <w:jc w:val="right"/>
              <w:rPr>
                <w:rFonts w:ascii="sans-serif" w:hAnsi="sans-serif"/>
                <w:color w:val="000000"/>
                <w:sz w:val="20"/>
              </w:rPr>
            </w:pPr>
            <w:r>
              <w:rPr>
                <w:rFonts w:ascii="sans-serif" w:hAnsi="sans-serif"/>
                <w:color w:val="000000"/>
                <w:sz w:val="20"/>
              </w:rPr>
              <w:t>3,524,516</w:t>
            </w:r>
          </w:p>
        </w:tc>
      </w:tr>
      <w:tr>
        <w:trPr/>
        <w:tc>
          <w:tcPr>
            <w:tcW w:w="2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40" w:after="283"/>
              <w:jc w:val="right"/>
              <w:rPr>
                <w:rFonts w:ascii="Times New Roman" w:hAnsi="Times New Roman"/>
                <w:sz w:val="20"/>
              </w:rPr>
            </w:pPr>
            <w:r>
              <w:rPr>
                <w:rFonts w:ascii="sans-serif" w:hAnsi="sans-serif"/>
                <w:color w:val="000000"/>
                <w:sz w:val="20"/>
              </w:rPr>
              <w:t>2,470,885</w:t>
            </w:r>
            <w:r>
              <w:rPr>
                <w:rFonts w:ascii="Times New Roman" w:hAnsi="Times New Roman"/>
                <w:color w:val="000000"/>
                <w:sz w:val="20"/>
              </w:rPr>
              <w:t xml:space="preserve"> </w:t>
            </w:r>
          </w:p>
        </w:tc>
        <w:tc>
          <w:tcPr>
            <w:tcW w:w="1411" w:type="dxa"/>
            <w:tcBorders>
              <w:bottom w:val="single" w:sz="4" w:space="0" w:color="000000"/>
            </w:tcBorders>
            <w:tcMar>
              <w:top w:w="0" w:type="dxa"/>
              <w:left w:w="0" w:type="dxa"/>
              <w:right w:w="0" w:type="dxa"/>
            </w:tcMar>
            <w:vAlign w:val="center"/>
          </w:tcPr>
          <w:p>
            <w:pPr>
              <w:pStyle w:val="TableContents"/>
              <w:bidi w:val="0"/>
              <w:spacing w:before="40" w:after="283"/>
              <w:ind w:left="0" w:right="0" w:firstLine="50"/>
              <w:jc w:val="right"/>
              <w:rPr>
                <w:rFonts w:ascii="sans-serif" w:hAnsi="sans-serif"/>
                <w:color w:val="000000"/>
                <w:sz w:val="20"/>
              </w:rPr>
            </w:pPr>
            <w:r>
              <w:rPr>
                <w:rFonts w:ascii="sans-serif" w:hAnsi="sans-serif"/>
                <w:color w:val="000000"/>
                <w:sz w:val="20"/>
              </w:rPr>
              <w:t>8,097,667</w:t>
            </w:r>
          </w:p>
        </w:tc>
      </w:tr>
      <w:tr>
        <w:trPr/>
        <w:tc>
          <w:tcPr>
            <w:tcW w:w="2781" w:type="dxa"/>
            <w:tcBorders/>
            <w:tcMar>
              <w:top w:w="0" w:type="dxa"/>
              <w:left w:w="0" w:type="dxa"/>
              <w:bottom w:w="0" w:type="dxa"/>
              <w:right w:w="0" w:type="dxa"/>
            </w:tcMar>
            <w:vAlign w:val="center"/>
          </w:tcPr>
          <w:p>
            <w:pPr>
              <w:pStyle w:val="TableContents"/>
              <w:bidi w:val="0"/>
              <w:spacing w:before="40" w:after="283"/>
              <w:ind w:left="0" w:right="0" w:firstLine="50"/>
              <w:jc w:val="left"/>
              <w:rPr>
                <w:rFonts w:ascii="sans-serif" w:hAnsi="sans-serif"/>
                <w:color w:val="000000"/>
                <w:sz w:val="20"/>
              </w:rPr>
            </w:pPr>
            <w:r>
              <w:rPr>
                <w:rFonts w:ascii="sans-serif" w:hAnsi="sans-serif"/>
                <w:color w:val="000000"/>
                <w:sz w:val="20"/>
              </w:rPr>
              <w:t>Deferred:</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2781" w:type="dxa"/>
            <w:tcBorders/>
            <w:tcMar>
              <w:top w:w="0" w:type="dxa"/>
              <w:left w:w="0" w:type="dxa"/>
              <w:bottom w:w="0" w:type="dxa"/>
              <w:right w:w="0" w:type="dxa"/>
            </w:tcMar>
            <w:vAlign w:val="center"/>
          </w:tcPr>
          <w:p>
            <w:pPr>
              <w:pStyle w:val="TableContents"/>
              <w:bidi w:val="0"/>
              <w:spacing w:before="41" w:after="283"/>
              <w:ind w:left="0" w:right="0" w:firstLine="150"/>
              <w:jc w:val="left"/>
              <w:rPr>
                <w:rFonts w:ascii="sans-serif" w:hAnsi="sans-serif"/>
                <w:color w:val="000000"/>
                <w:sz w:val="20"/>
              </w:rPr>
            </w:pPr>
            <w:r>
              <w:rPr>
                <w:rFonts w:ascii="sans-serif" w:hAnsi="sans-serif"/>
                <w:color w:val="000000"/>
                <w:sz w:val="20"/>
              </w:rPr>
              <w:t>State and local</w:t>
            </w:r>
          </w:p>
        </w:tc>
        <w:tc>
          <w:tcPr>
            <w:tcW w:w="1291" w:type="dxa"/>
            <w:tcBorders/>
            <w:tcMar>
              <w:top w:w="0" w:type="dxa"/>
              <w:left w:w="0" w:type="dxa"/>
              <w:bottom w:w="0" w:type="dxa"/>
              <w:right w:w="0" w:type="dxa"/>
            </w:tcMar>
            <w:vAlign w:val="center"/>
          </w:tcPr>
          <w:p>
            <w:pPr>
              <w:pStyle w:val="TableContents"/>
              <w:bidi w:val="0"/>
              <w:spacing w:before="40" w:after="283"/>
              <w:jc w:val="right"/>
              <w:rPr>
                <w:rFonts w:ascii="sans-serif" w:hAnsi="sans-serif"/>
                <w:color w:val="000000"/>
                <w:sz w:val="20"/>
              </w:rPr>
            </w:pPr>
            <w:r>
              <w:rPr>
                <w:rFonts w:ascii="sans-serif" w:hAnsi="sans-serif"/>
                <w:color w:val="000000"/>
                <w:sz w:val="20"/>
              </w:rPr>
              <w:t>180,406</w:t>
            </w:r>
          </w:p>
        </w:tc>
        <w:tc>
          <w:tcPr>
            <w:tcW w:w="1411" w:type="dxa"/>
            <w:tcBorders/>
            <w:tcMar>
              <w:top w:w="0" w:type="dxa"/>
              <w:left w:w="0" w:type="dxa"/>
              <w:bottom w:w="0" w:type="dxa"/>
              <w:right w:w="0" w:type="dxa"/>
            </w:tcMar>
            <w:vAlign w:val="center"/>
          </w:tcPr>
          <w:p>
            <w:pPr>
              <w:pStyle w:val="TableContents"/>
              <w:bidi w:val="0"/>
              <w:spacing w:before="40" w:after="283"/>
              <w:ind w:left="0" w:right="0" w:firstLine="150"/>
              <w:jc w:val="right"/>
              <w:rPr>
                <w:rFonts w:ascii="sans-serif" w:hAnsi="sans-serif"/>
                <w:color w:val="000000"/>
                <w:sz w:val="20"/>
              </w:rPr>
            </w:pPr>
            <w:r>
              <w:rPr>
                <w:rFonts w:ascii="sans-serif" w:hAnsi="sans-serif"/>
                <w:color w:val="000000"/>
                <w:sz w:val="20"/>
              </w:rPr>
              <w:t>(18,342)</w:t>
            </w:r>
          </w:p>
        </w:tc>
      </w:tr>
      <w:tr>
        <w:trPr/>
        <w:tc>
          <w:tcPr>
            <w:tcW w:w="2781" w:type="dxa"/>
            <w:tcBorders/>
            <w:tcMar>
              <w:top w:w="0" w:type="dxa"/>
              <w:left w:w="0" w:type="dxa"/>
              <w:bottom w:w="0" w:type="dxa"/>
              <w:right w:w="0" w:type="dxa"/>
            </w:tcMar>
            <w:vAlign w:val="center"/>
          </w:tcPr>
          <w:p>
            <w:pPr>
              <w:pStyle w:val="TableContents"/>
              <w:bidi w:val="0"/>
              <w:spacing w:before="40" w:after="283"/>
              <w:ind w:left="0" w:right="0" w:firstLine="150"/>
              <w:jc w:val="left"/>
              <w:rPr>
                <w:rFonts w:ascii="sans-serif" w:hAnsi="sans-serif"/>
                <w:color w:val="000000"/>
                <w:sz w:val="20"/>
              </w:rPr>
            </w:pPr>
            <w:r>
              <w:rPr>
                <w:rFonts w:ascii="sans-serif" w:hAnsi="sans-serif"/>
                <w:color w:val="000000"/>
                <w:sz w:val="20"/>
              </w:rPr>
              <w:t>Foreign</w:t>
            </w:r>
          </w:p>
        </w:tc>
        <w:tc>
          <w:tcPr>
            <w:tcW w:w="1291" w:type="dxa"/>
            <w:tcBorders/>
            <w:tcMar>
              <w:top w:w="0" w:type="dxa"/>
              <w:left w:w="0" w:type="dxa"/>
              <w:bottom w:w="0" w:type="dxa"/>
              <w:right w:w="0" w:type="dxa"/>
            </w:tcMar>
            <w:vAlign w:val="center"/>
          </w:tcPr>
          <w:p>
            <w:pPr>
              <w:pStyle w:val="TableContents"/>
              <w:bidi w:val="0"/>
              <w:spacing w:before="40" w:after="283"/>
              <w:jc w:val="right"/>
              <w:rPr>
                <w:rFonts w:ascii="sans-serif" w:hAnsi="sans-serif"/>
                <w:color w:val="000000"/>
                <w:sz w:val="20"/>
              </w:rPr>
            </w:pPr>
            <w:r>
              <w:rPr>
                <w:rFonts w:ascii="sans-serif" w:hAnsi="sans-serif"/>
                <w:color w:val="000000"/>
                <w:sz w:val="20"/>
              </w:rPr>
              <w:t>(1,695,849)</w:t>
            </w:r>
          </w:p>
        </w:tc>
        <w:tc>
          <w:tcPr>
            <w:tcW w:w="1411" w:type="dxa"/>
            <w:tcBorders/>
            <w:tcMar>
              <w:top w:w="0" w:type="dxa"/>
              <w:left w:w="0" w:type="dxa"/>
              <w:bottom w:w="0" w:type="dxa"/>
              <w:right w:w="0" w:type="dxa"/>
            </w:tcMar>
            <w:vAlign w:val="center"/>
          </w:tcPr>
          <w:p>
            <w:pPr>
              <w:pStyle w:val="TableContents"/>
              <w:bidi w:val="0"/>
              <w:spacing w:before="40" w:after="283"/>
              <w:ind w:left="0" w:right="0" w:firstLine="150"/>
              <w:jc w:val="right"/>
              <w:rPr>
                <w:rFonts w:ascii="sans-serif" w:hAnsi="sans-serif"/>
                <w:color w:val="000000"/>
                <w:sz w:val="20"/>
              </w:rPr>
            </w:pPr>
            <w:r>
              <w:rPr>
                <w:rFonts w:ascii="sans-serif" w:hAnsi="sans-serif"/>
                <w:color w:val="000000"/>
                <w:sz w:val="20"/>
              </w:rPr>
              <w:t>(1,829,148)</w:t>
            </w:r>
          </w:p>
        </w:tc>
      </w:tr>
      <w:tr>
        <w:trPr/>
        <w:tc>
          <w:tcPr>
            <w:tcW w:w="2781" w:type="dxa"/>
            <w:tcBorders/>
            <w:tcMar>
              <w:top w:w="0" w:type="dxa"/>
              <w:left w:w="0" w:type="dxa"/>
              <w:bottom w:w="0" w:type="dxa"/>
              <w:right w:w="0" w:type="dxa"/>
            </w:tcMar>
            <w:vAlign w:val="center"/>
          </w:tcPr>
          <w:p>
            <w:pPr>
              <w:pStyle w:val="TableContents"/>
              <w:bidi w:val="0"/>
              <w:spacing w:before="41" w:after="283"/>
              <w:ind w:left="0" w:right="0" w:firstLine="150"/>
              <w:jc w:val="left"/>
              <w:rPr>
                <w:rFonts w:ascii="sans-serif" w:hAnsi="sans-serif"/>
                <w:color w:val="000000"/>
                <w:sz w:val="20"/>
              </w:rPr>
            </w:pPr>
            <w:r>
              <w:rPr>
                <w:rFonts w:ascii="sans-serif" w:hAnsi="sans-serif"/>
                <w:color w:val="000000"/>
                <w:sz w:val="20"/>
              </w:rPr>
              <w:t>Federal</w:t>
            </w:r>
          </w:p>
        </w:tc>
        <w:tc>
          <w:tcPr>
            <w:tcW w:w="1291" w:type="dxa"/>
            <w:tcBorders>
              <w:bottom w:val="single" w:sz="4" w:space="0" w:color="000000"/>
            </w:tcBorders>
            <w:tcMar>
              <w:top w:w="0" w:type="dxa"/>
              <w:left w:w="0" w:type="dxa"/>
              <w:right w:w="0" w:type="dxa"/>
            </w:tcMar>
            <w:vAlign w:val="center"/>
          </w:tcPr>
          <w:p>
            <w:pPr>
              <w:pStyle w:val="TableContents"/>
              <w:bidi w:val="0"/>
              <w:spacing w:before="41" w:after="283"/>
              <w:jc w:val="right"/>
              <w:rPr/>
            </w:pPr>
            <w:r>
              <w:rPr>
                <w:color w:val="000000"/>
              </w:rPr>
              <w:t> </w:t>
            </w:r>
            <w:r>
              <w:rPr>
                <w:rFonts w:ascii="sans-serif" w:hAnsi="sans-serif"/>
                <w:color w:val="000000"/>
                <w:sz w:val="20"/>
              </w:rPr>
              <w:t>2,411,028</w:t>
            </w:r>
            <w:r>
              <w:rPr>
                <w:rFonts w:ascii="Times New Roman" w:hAnsi="Times New Roman"/>
                <w:color w:val="000000"/>
                <w:sz w:val="20"/>
              </w:rPr>
              <w:t xml:space="preserve"> </w:t>
            </w:r>
          </w:p>
        </w:tc>
        <w:tc>
          <w:tcPr>
            <w:tcW w:w="1411" w:type="dxa"/>
            <w:tcBorders>
              <w:bottom w:val="single" w:sz="4" w:space="0" w:color="000000"/>
            </w:tcBorders>
            <w:tcMar>
              <w:top w:w="0" w:type="dxa"/>
              <w:left w:w="0" w:type="dxa"/>
              <w:right w:w="0" w:type="dxa"/>
            </w:tcMar>
            <w:vAlign w:val="center"/>
          </w:tcPr>
          <w:p>
            <w:pPr>
              <w:pStyle w:val="TableContents"/>
              <w:bidi w:val="0"/>
              <w:spacing w:before="41" w:after="283"/>
              <w:jc w:val="right"/>
              <w:rPr>
                <w:rFonts w:ascii="sans-serif" w:hAnsi="sans-serif"/>
                <w:color w:val="000000"/>
                <w:sz w:val="20"/>
              </w:rPr>
            </w:pPr>
            <w:r>
              <w:rPr>
                <w:rFonts w:ascii="sans-serif" w:hAnsi="sans-serif"/>
                <w:color w:val="000000"/>
                <w:sz w:val="20"/>
              </w:rPr>
              <w:t>(2,574,011)</w:t>
            </w:r>
          </w:p>
        </w:tc>
      </w:tr>
      <w:tr>
        <w:trPr/>
        <w:tc>
          <w:tcPr>
            <w:tcW w:w="2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40" w:after="283"/>
              <w:jc w:val="right"/>
              <w:rPr/>
            </w:pPr>
            <w:r>
              <w:rPr>
                <w:color w:val="000000"/>
              </w:rPr>
              <w:t> </w:t>
            </w:r>
            <w:r>
              <w:rPr>
                <w:rFonts w:ascii="sans-serif" w:hAnsi="sans-serif"/>
                <w:color w:val="000000"/>
                <w:sz w:val="20"/>
              </w:rPr>
              <w:t>895,585</w:t>
            </w:r>
            <w:r>
              <w:rPr>
                <w:rFonts w:ascii="Times New Roman" w:hAnsi="Times New Roman"/>
                <w:color w:val="000000"/>
                <w:sz w:val="20"/>
              </w:rPr>
              <w:t xml:space="preserve"> </w:t>
            </w:r>
          </w:p>
        </w:tc>
        <w:tc>
          <w:tcPr>
            <w:tcW w:w="1411" w:type="dxa"/>
            <w:tcBorders>
              <w:bottom w:val="single" w:sz="4" w:space="0" w:color="000000"/>
            </w:tcBorders>
            <w:tcMar>
              <w:top w:w="0" w:type="dxa"/>
              <w:left w:w="0" w:type="dxa"/>
              <w:right w:w="0" w:type="dxa"/>
            </w:tcMar>
            <w:vAlign w:val="center"/>
          </w:tcPr>
          <w:p>
            <w:pPr>
              <w:pStyle w:val="TableContents"/>
              <w:bidi w:val="0"/>
              <w:spacing w:before="40" w:after="283"/>
              <w:ind w:left="0" w:right="0" w:firstLine="50"/>
              <w:jc w:val="right"/>
              <w:rPr>
                <w:rFonts w:ascii="sans-serif" w:hAnsi="sans-serif"/>
                <w:color w:val="000000"/>
                <w:sz w:val="20"/>
              </w:rPr>
            </w:pPr>
            <w:r>
              <w:rPr>
                <w:rFonts w:ascii="sans-serif" w:hAnsi="sans-serif"/>
                <w:color w:val="000000"/>
                <w:sz w:val="20"/>
              </w:rPr>
              <w:t>(4,421,501)</w:t>
            </w:r>
          </w:p>
        </w:tc>
      </w:tr>
      <w:tr>
        <w:trPr/>
        <w:tc>
          <w:tcPr>
            <w:tcW w:w="2781" w:type="dxa"/>
            <w:tcBorders/>
            <w:tcMar>
              <w:top w:w="0" w:type="dxa"/>
              <w:left w:w="0" w:type="dxa"/>
              <w:bottom w:w="0" w:type="dxa"/>
              <w:right w:w="0" w:type="dxa"/>
            </w:tcMar>
            <w:vAlign w:val="center"/>
          </w:tcPr>
          <w:p>
            <w:pPr>
              <w:pStyle w:val="TableContents"/>
              <w:bidi w:val="0"/>
              <w:spacing w:before="40" w:after="283"/>
              <w:ind w:left="0" w:right="0" w:firstLine="50"/>
              <w:jc w:val="left"/>
              <w:rPr>
                <w:rFonts w:ascii="sans-serif" w:hAnsi="sans-serif"/>
                <w:color w:val="000000"/>
                <w:sz w:val="20"/>
              </w:rPr>
            </w:pPr>
            <w:r>
              <w:rPr>
                <w:rFonts w:ascii="sans-serif" w:hAnsi="sans-serif"/>
                <w:color w:val="000000"/>
                <w:sz w:val="20"/>
              </w:rPr>
              <w:t>Provision for income taxes</w:t>
            </w:r>
          </w:p>
        </w:tc>
        <w:tc>
          <w:tcPr>
            <w:tcW w:w="1291" w:type="dxa"/>
            <w:tcBorders>
              <w:bottom w:val="double" w:sz="4" w:space="0" w:color="000000"/>
            </w:tcBorders>
            <w:tcMar>
              <w:top w:w="0" w:type="dxa"/>
              <w:left w:w="0" w:type="dxa"/>
              <w:right w:w="0" w:type="dxa"/>
            </w:tcMar>
            <w:vAlign w:val="center"/>
          </w:tcPr>
          <w:p>
            <w:pPr>
              <w:pStyle w:val="TableContents"/>
              <w:bidi w:val="0"/>
              <w:spacing w:before="40" w:after="283"/>
              <w:jc w:val="right"/>
              <w:rPr>
                <w:rFonts w:ascii="Times New Roman" w:hAnsi="Times New Roman"/>
                <w:sz w:val="20"/>
              </w:rPr>
            </w:pPr>
            <w:r>
              <w:rPr>
                <w:rFonts w:ascii="sans-serif" w:hAnsi="sans-serif"/>
                <w:color w:val="000000"/>
                <w:sz w:val="20"/>
              </w:rPr>
              <w:t>$ 3,366,470</w:t>
            </w:r>
            <w:r>
              <w:rPr>
                <w:rFonts w:ascii="Times New Roman" w:hAnsi="Times New Roman"/>
                <w:color w:val="000000"/>
                <w:sz w:val="20"/>
              </w:rPr>
              <w:t xml:space="preserve"> </w:t>
            </w:r>
          </w:p>
        </w:tc>
        <w:tc>
          <w:tcPr>
            <w:tcW w:w="1411" w:type="dxa"/>
            <w:tcBorders>
              <w:bottom w:val="double" w:sz="4" w:space="0" w:color="000000"/>
            </w:tcBorders>
            <w:tcMar>
              <w:top w:w="0" w:type="dxa"/>
              <w:left w:w="0" w:type="dxa"/>
              <w:right w:w="0" w:type="dxa"/>
            </w:tcMar>
            <w:vAlign w:val="center"/>
          </w:tcPr>
          <w:p>
            <w:pPr>
              <w:pStyle w:val="TableContents"/>
              <w:bidi w:val="0"/>
              <w:spacing w:before="40" w:after="283"/>
              <w:jc w:val="right"/>
              <w:rPr>
                <w:rFonts w:ascii="sans-serif" w:hAnsi="sans-serif"/>
                <w:color w:val="000000"/>
                <w:sz w:val="20"/>
              </w:rPr>
            </w:pPr>
            <w:r>
              <w:rPr>
                <w:rFonts w:ascii="sans-serif" w:hAnsi="sans-serif"/>
                <w:color w:val="000000"/>
                <w:sz w:val="20"/>
              </w:rPr>
              <w:t>$ 3,676,166</w:t>
            </w:r>
          </w:p>
        </w:tc>
      </w:tr>
    </w:tbl>
    <w:p>
      <w:pPr>
        <w:pStyle w:val="TextBody"/>
        <w:bidi w:val="0"/>
        <w:jc w:val="left"/>
        <w:rPr/>
      </w:pPr>
      <w:r>
        <w:rPr/>
        <w:t> </w:t>
      </w:r>
    </w:p>
    <w:p>
      <w:pPr>
        <w:pStyle w:val="TextBody"/>
        <w:bidi w:val="0"/>
        <w:spacing w:before="41" w:after="283"/>
        <w:jc w:val="both"/>
        <w:rPr>
          <w:rFonts w:ascii="sans-serif" w:hAnsi="sans-serif"/>
          <w:color w:val="000000"/>
          <w:sz w:val="20"/>
        </w:rPr>
      </w:pPr>
      <w:r>
        <w:rPr>
          <w:rFonts w:ascii="sans-serif" w:hAnsi="sans-serif"/>
          <w:color w:val="000000"/>
          <w:sz w:val="20"/>
        </w:rPr>
        <w:t>The provision for income taxes varied from statutory U.S. Federal income taxes due to the following:</w:t>
      </w:r>
    </w:p>
    <w:p>
      <w:pPr>
        <w:pStyle w:val="TextBody"/>
        <w:bidi w:val="0"/>
        <w:spacing w:before="1" w:after="283"/>
        <w:jc w:val="center"/>
        <w:rPr/>
      </w:pPr>
      <w:r>
        <w:rPr/>
        <w:t> </w:t>
      </w:r>
    </w:p>
    <w:tbl>
      <w:tblPr>
        <w:tblW w:w="7223" w:type="dxa"/>
        <w:jc w:val="left"/>
        <w:tblInd w:w="0" w:type="dxa"/>
        <w:tblLayout w:type="fixed"/>
        <w:tblCellMar>
          <w:top w:w="28" w:type="dxa"/>
          <w:left w:w="28" w:type="dxa"/>
          <w:bottom w:w="28" w:type="dxa"/>
          <w:right w:w="28" w:type="dxa"/>
        </w:tblCellMar>
      </w:tblPr>
      <w:tblGrid>
        <w:gridCol w:w="4641"/>
        <w:gridCol w:w="1291"/>
        <w:gridCol w:w="1291"/>
      </w:tblGrid>
      <w:tr>
        <w:trPr/>
        <w:tc>
          <w:tcPr>
            <w:tcW w:w="464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4641" w:type="dxa"/>
            <w:tcBorders/>
            <w:tcMar>
              <w:top w:w="0" w:type="dxa"/>
              <w:left w:w="0" w:type="dxa"/>
              <w:bottom w:w="0" w:type="dxa"/>
              <w:right w:w="0" w:type="dxa"/>
            </w:tcMar>
            <w:vAlign w:val="center"/>
          </w:tcPr>
          <w:p>
            <w:pPr>
              <w:pStyle w:val="TableContents"/>
              <w:bidi w:val="0"/>
              <w:spacing w:before="0" w:after="283"/>
              <w:ind w:left="0" w:right="0" w:firstLine="289"/>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ind w:left="0" w:right="0" w:firstLine="289"/>
              <w:jc w:val="center"/>
              <w:rPr>
                <w:rFonts w:ascii="sans-serif" w:hAnsi="sans-serif"/>
                <w:b/>
                <w:color w:val="000000"/>
                <w:sz w:val="20"/>
              </w:rPr>
            </w:pPr>
            <w:r>
              <w:rPr>
                <w:rFonts w:ascii="sans-serif" w:hAnsi="sans-serif"/>
                <w:b/>
                <w:color w:val="000000"/>
                <w:sz w:val="20"/>
              </w:rPr>
              <w:t>2025</w:t>
            </w:r>
          </w:p>
        </w:tc>
        <w:tc>
          <w:tcPr>
            <w:tcW w:w="1291" w:type="dxa"/>
            <w:tcBorders/>
            <w:tcMar>
              <w:top w:w="0" w:type="dxa"/>
              <w:left w:w="0" w:type="dxa"/>
              <w:bottom w:w="0" w:type="dxa"/>
              <w:right w:w="0" w:type="dxa"/>
            </w:tcMar>
            <w:vAlign w:val="center"/>
          </w:tcPr>
          <w:p>
            <w:pPr>
              <w:pStyle w:val="TableContents"/>
              <w:bidi w:val="0"/>
              <w:spacing w:before="0" w:after="283"/>
              <w:ind w:left="0" w:right="0" w:firstLine="50"/>
              <w:jc w:val="center"/>
              <w:rPr>
                <w:rFonts w:ascii="sans-serif" w:hAnsi="sans-serif"/>
                <w:b/>
                <w:color w:val="000000"/>
                <w:sz w:val="20"/>
              </w:rPr>
            </w:pPr>
            <w:r>
              <w:rPr>
                <w:rFonts w:ascii="sans-serif" w:hAnsi="sans-serif"/>
                <w:b/>
                <w:color w:val="000000"/>
                <w:sz w:val="20"/>
              </w:rPr>
              <w:t>2024</w:t>
            </w:r>
          </w:p>
        </w:tc>
      </w:tr>
      <w:tr>
        <w:trPr/>
        <w:tc>
          <w:tcPr>
            <w:tcW w:w="4641" w:type="dxa"/>
            <w:tcBorders/>
            <w:tcMar>
              <w:top w:w="0" w:type="dxa"/>
              <w:left w:w="0" w:type="dxa"/>
              <w:bottom w:w="0" w:type="dxa"/>
              <w:right w:w="0" w:type="dxa"/>
            </w:tcMar>
            <w:vAlign w:val="center"/>
          </w:tcPr>
          <w:p>
            <w:pPr>
              <w:pStyle w:val="TableContents"/>
              <w:bidi w:val="0"/>
              <w:spacing w:before="41" w:after="283"/>
              <w:ind w:left="0" w:right="0" w:firstLine="50"/>
              <w:jc w:val="left"/>
              <w:rPr>
                <w:rFonts w:ascii="sans-serif" w:hAnsi="sans-serif"/>
                <w:color w:val="000000"/>
                <w:sz w:val="20"/>
              </w:rPr>
            </w:pPr>
            <w:r>
              <w:rPr>
                <w:rFonts w:ascii="sans-serif" w:hAnsi="sans-serif"/>
                <w:color w:val="000000"/>
                <w:sz w:val="20"/>
              </w:rPr>
              <w:t>U.S. Federal income taxes at statutory rate</w:t>
            </w:r>
          </w:p>
        </w:tc>
        <w:tc>
          <w:tcPr>
            <w:tcW w:w="1291" w:type="dxa"/>
            <w:tcBorders/>
            <w:tcMar>
              <w:top w:w="0" w:type="dxa"/>
              <w:left w:w="0" w:type="dxa"/>
              <w:bottom w:w="0" w:type="dxa"/>
              <w:right w:w="0" w:type="dxa"/>
            </w:tcMar>
            <w:vAlign w:val="center"/>
          </w:tcPr>
          <w:p>
            <w:pPr>
              <w:pStyle w:val="TableContents"/>
              <w:bidi w:val="0"/>
              <w:spacing w:before="40" w:after="283"/>
              <w:jc w:val="right"/>
              <w:rPr>
                <w:rFonts w:ascii="sans-serif" w:hAnsi="sans-serif"/>
                <w:color w:val="000000"/>
                <w:sz w:val="20"/>
              </w:rPr>
            </w:pPr>
            <w:r>
              <w:rPr>
                <w:rFonts w:ascii="sans-serif" w:hAnsi="sans-serif"/>
                <w:color w:val="000000"/>
                <w:sz w:val="20"/>
              </w:rPr>
              <w:t>$2,976,035</w:t>
            </w:r>
          </w:p>
        </w:tc>
        <w:tc>
          <w:tcPr>
            <w:tcW w:w="1291" w:type="dxa"/>
            <w:tcBorders/>
            <w:tcMar>
              <w:top w:w="0" w:type="dxa"/>
              <w:left w:w="0" w:type="dxa"/>
              <w:bottom w:w="0" w:type="dxa"/>
              <w:right w:w="0" w:type="dxa"/>
            </w:tcMar>
            <w:vAlign w:val="center"/>
          </w:tcPr>
          <w:p>
            <w:pPr>
              <w:pStyle w:val="TableContents"/>
              <w:bidi w:val="0"/>
              <w:spacing w:before="40" w:after="283"/>
              <w:ind w:left="0" w:right="0" w:firstLine="50"/>
              <w:jc w:val="right"/>
              <w:rPr>
                <w:rFonts w:ascii="sans-serif" w:hAnsi="sans-serif"/>
                <w:color w:val="000000"/>
                <w:sz w:val="20"/>
              </w:rPr>
            </w:pPr>
            <w:r>
              <w:rPr>
                <w:rFonts w:ascii="sans-serif" w:hAnsi="sans-serif"/>
                <w:color w:val="000000"/>
                <w:sz w:val="20"/>
              </w:rPr>
              <w:t>$3,151,764</w:t>
            </w:r>
          </w:p>
        </w:tc>
      </w:tr>
      <w:tr>
        <w:trPr/>
        <w:tc>
          <w:tcPr>
            <w:tcW w:w="4641" w:type="dxa"/>
            <w:tcBorders/>
            <w:tcMar>
              <w:top w:w="0" w:type="dxa"/>
              <w:left w:w="0" w:type="dxa"/>
              <w:bottom w:w="0" w:type="dxa"/>
              <w:right w:w="0" w:type="dxa"/>
            </w:tcMar>
            <w:vAlign w:val="center"/>
          </w:tcPr>
          <w:p>
            <w:pPr>
              <w:pStyle w:val="TableContents"/>
              <w:bidi w:val="0"/>
              <w:spacing w:before="41" w:after="283"/>
              <w:ind w:left="0" w:right="0" w:firstLine="50"/>
              <w:jc w:val="left"/>
              <w:rPr>
                <w:rFonts w:ascii="sans-serif" w:hAnsi="sans-serif"/>
                <w:color w:val="000000"/>
                <w:sz w:val="20"/>
              </w:rPr>
            </w:pPr>
            <w:r>
              <w:rPr>
                <w:rFonts w:ascii="sans-serif" w:hAnsi="sans-serif"/>
                <w:color w:val="000000"/>
                <w:sz w:val="20"/>
              </w:rPr>
              <w:t>State income taxes, net of Federal tax benefit</w:t>
            </w:r>
          </w:p>
        </w:tc>
        <w:tc>
          <w:tcPr>
            <w:tcW w:w="1291" w:type="dxa"/>
            <w:tcBorders/>
            <w:tcMar>
              <w:top w:w="0" w:type="dxa"/>
              <w:left w:w="0" w:type="dxa"/>
              <w:bottom w:w="0" w:type="dxa"/>
              <w:right w:w="0" w:type="dxa"/>
            </w:tcMar>
            <w:vAlign w:val="center"/>
          </w:tcPr>
          <w:p>
            <w:pPr>
              <w:pStyle w:val="TableContents"/>
              <w:bidi w:val="0"/>
              <w:spacing w:before="41" w:after="283"/>
              <w:jc w:val="right"/>
              <w:rPr>
                <w:rFonts w:ascii="sans-serif" w:hAnsi="sans-serif"/>
                <w:color w:val="000000"/>
                <w:sz w:val="20"/>
              </w:rPr>
            </w:pPr>
            <w:r>
              <w:rPr>
                <w:rFonts w:ascii="sans-serif" w:hAnsi="sans-serif"/>
                <w:color w:val="000000"/>
                <w:sz w:val="20"/>
              </w:rPr>
              <w:t>406,343</w:t>
            </w:r>
          </w:p>
        </w:tc>
        <w:tc>
          <w:tcPr>
            <w:tcW w:w="1291" w:type="dxa"/>
            <w:tcBorders/>
            <w:tcMar>
              <w:top w:w="0" w:type="dxa"/>
              <w:left w:w="0" w:type="dxa"/>
              <w:bottom w:w="0" w:type="dxa"/>
              <w:right w:w="0" w:type="dxa"/>
            </w:tcMar>
            <w:vAlign w:val="center"/>
          </w:tcPr>
          <w:p>
            <w:pPr>
              <w:pStyle w:val="TableContents"/>
              <w:bidi w:val="0"/>
              <w:spacing w:before="41" w:after="283"/>
              <w:ind w:left="0" w:right="0" w:firstLine="50"/>
              <w:jc w:val="right"/>
              <w:rPr>
                <w:rFonts w:ascii="sans-serif" w:hAnsi="sans-serif"/>
                <w:color w:val="000000"/>
                <w:sz w:val="20"/>
              </w:rPr>
            </w:pPr>
            <w:r>
              <w:rPr>
                <w:rFonts w:ascii="sans-serif" w:hAnsi="sans-serif"/>
                <w:color w:val="000000"/>
                <w:sz w:val="20"/>
              </w:rPr>
              <w:t>513,508</w:t>
            </w:r>
          </w:p>
        </w:tc>
      </w:tr>
      <w:tr>
        <w:trPr/>
        <w:tc>
          <w:tcPr>
            <w:tcW w:w="4641" w:type="dxa"/>
            <w:tcBorders/>
            <w:tcMar>
              <w:top w:w="0" w:type="dxa"/>
              <w:left w:w="0" w:type="dxa"/>
              <w:bottom w:w="0" w:type="dxa"/>
              <w:right w:w="0" w:type="dxa"/>
            </w:tcMar>
            <w:vAlign w:val="center"/>
          </w:tcPr>
          <w:p>
            <w:pPr>
              <w:pStyle w:val="TableContents"/>
              <w:bidi w:val="0"/>
              <w:spacing w:before="41" w:after="283"/>
              <w:ind w:left="0" w:right="0" w:firstLine="50"/>
              <w:jc w:val="left"/>
              <w:rPr>
                <w:rFonts w:ascii="sans-serif" w:hAnsi="sans-serif"/>
                <w:color w:val="000000"/>
                <w:sz w:val="20"/>
              </w:rPr>
            </w:pPr>
            <w:r>
              <w:rPr>
                <w:rFonts w:ascii="sans-serif" w:hAnsi="sans-serif"/>
                <w:color w:val="000000"/>
                <w:sz w:val="20"/>
              </w:rPr>
              <w:t>Foreign and other</w:t>
            </w:r>
          </w:p>
        </w:tc>
        <w:tc>
          <w:tcPr>
            <w:tcW w:w="1291" w:type="dxa"/>
            <w:tcBorders>
              <w:bottom w:val="single" w:sz="4" w:space="0" w:color="000000"/>
            </w:tcBorders>
            <w:tcMar>
              <w:top w:w="0" w:type="dxa"/>
              <w:left w:w="0" w:type="dxa"/>
              <w:right w:w="0" w:type="dxa"/>
            </w:tcMar>
            <w:vAlign w:val="center"/>
          </w:tcPr>
          <w:p>
            <w:pPr>
              <w:pStyle w:val="TableContents"/>
              <w:bidi w:val="0"/>
              <w:spacing w:before="41" w:after="283"/>
              <w:jc w:val="right"/>
              <w:rPr>
                <w:rFonts w:ascii="sans-serif" w:hAnsi="sans-serif"/>
                <w:color w:val="000000"/>
                <w:sz w:val="20"/>
              </w:rPr>
            </w:pPr>
            <w:r>
              <w:rPr>
                <w:rFonts w:ascii="sans-serif" w:hAnsi="sans-serif"/>
                <w:color w:val="000000"/>
                <w:sz w:val="20"/>
              </w:rPr>
              <w:t>(15,908)</w:t>
            </w:r>
          </w:p>
        </w:tc>
        <w:tc>
          <w:tcPr>
            <w:tcW w:w="1291" w:type="dxa"/>
            <w:tcBorders>
              <w:bottom w:val="single" w:sz="4" w:space="0" w:color="000000"/>
            </w:tcBorders>
            <w:tcMar>
              <w:top w:w="0" w:type="dxa"/>
              <w:left w:w="0" w:type="dxa"/>
              <w:right w:w="0" w:type="dxa"/>
            </w:tcMar>
            <w:vAlign w:val="center"/>
          </w:tcPr>
          <w:p>
            <w:pPr>
              <w:pStyle w:val="TableContents"/>
              <w:bidi w:val="0"/>
              <w:spacing w:before="41" w:after="283"/>
              <w:ind w:left="0" w:right="0" w:firstLine="50"/>
              <w:jc w:val="right"/>
              <w:rPr>
                <w:rFonts w:ascii="sans-serif" w:hAnsi="sans-serif"/>
                <w:color w:val="000000"/>
                <w:sz w:val="20"/>
              </w:rPr>
            </w:pPr>
            <w:r>
              <w:rPr>
                <w:rFonts w:ascii="sans-serif" w:hAnsi="sans-serif"/>
                <w:color w:val="000000"/>
                <w:sz w:val="20"/>
              </w:rPr>
              <w:t>10,894</w:t>
            </w:r>
          </w:p>
        </w:tc>
      </w:tr>
      <w:tr>
        <w:trPr/>
        <w:tc>
          <w:tcPr>
            <w:tcW w:w="4641" w:type="dxa"/>
            <w:tcBorders/>
            <w:tcMar>
              <w:top w:w="0" w:type="dxa"/>
              <w:left w:w="0" w:type="dxa"/>
              <w:bottom w:w="0" w:type="dxa"/>
              <w:right w:w="0" w:type="dxa"/>
            </w:tcMar>
            <w:vAlign w:val="center"/>
          </w:tcPr>
          <w:p>
            <w:pPr>
              <w:pStyle w:val="TableContents"/>
              <w:bidi w:val="0"/>
              <w:spacing w:before="40" w:after="283"/>
              <w:ind w:left="0" w:right="0" w:firstLine="50"/>
              <w:jc w:val="left"/>
              <w:rPr>
                <w:rFonts w:ascii="sans-serif" w:hAnsi="sans-serif"/>
                <w:color w:val="000000"/>
                <w:sz w:val="20"/>
              </w:rPr>
            </w:pPr>
            <w:r>
              <w:rPr>
                <w:rFonts w:ascii="sans-serif" w:hAnsi="sans-serif"/>
                <w:color w:val="000000"/>
                <w:sz w:val="20"/>
              </w:rPr>
              <w:t>Provision for income taxes</w:t>
            </w:r>
          </w:p>
        </w:tc>
        <w:tc>
          <w:tcPr>
            <w:tcW w:w="1291" w:type="dxa"/>
            <w:tcBorders>
              <w:bottom w:val="double" w:sz="4" w:space="0" w:color="000000"/>
            </w:tcBorders>
            <w:tcMar>
              <w:top w:w="0" w:type="dxa"/>
              <w:left w:w="0" w:type="dxa"/>
              <w:right w:w="0" w:type="dxa"/>
            </w:tcMar>
            <w:vAlign w:val="center"/>
          </w:tcPr>
          <w:p>
            <w:pPr>
              <w:pStyle w:val="TableContents"/>
              <w:bidi w:val="0"/>
              <w:spacing w:before="40" w:after="283"/>
              <w:jc w:val="right"/>
              <w:rPr>
                <w:rFonts w:ascii="Times New Roman" w:hAnsi="Times New Roman"/>
                <w:sz w:val="20"/>
              </w:rPr>
            </w:pPr>
            <w:r>
              <w:rPr>
                <w:rFonts w:ascii="sans-serif" w:hAnsi="sans-serif"/>
                <w:color w:val="000000"/>
                <w:sz w:val="20"/>
              </w:rPr>
              <w:t>$ 3,366,470</w:t>
            </w:r>
            <w:r>
              <w:rPr>
                <w:rFonts w:ascii="Times New Roman" w:hAnsi="Times New Roman"/>
                <w:color w:val="000000"/>
                <w:sz w:val="20"/>
              </w:rPr>
              <w:t xml:space="preserve"> </w:t>
            </w:r>
          </w:p>
        </w:tc>
        <w:tc>
          <w:tcPr>
            <w:tcW w:w="1291" w:type="dxa"/>
            <w:tcBorders>
              <w:bottom w:val="double" w:sz="4" w:space="0" w:color="000000"/>
            </w:tcBorders>
            <w:tcMar>
              <w:top w:w="0" w:type="dxa"/>
              <w:left w:w="0" w:type="dxa"/>
              <w:right w:w="0" w:type="dxa"/>
            </w:tcMar>
            <w:vAlign w:val="center"/>
          </w:tcPr>
          <w:p>
            <w:pPr>
              <w:pStyle w:val="TableContents"/>
              <w:bidi w:val="0"/>
              <w:spacing w:before="40" w:after="283"/>
              <w:jc w:val="right"/>
              <w:rPr>
                <w:rFonts w:ascii="sans-serif" w:hAnsi="sans-serif"/>
                <w:color w:val="000000"/>
                <w:sz w:val="20"/>
              </w:rPr>
            </w:pPr>
            <w:r>
              <w:rPr>
                <w:rFonts w:ascii="sans-serif" w:hAnsi="sans-serif"/>
                <w:color w:val="000000"/>
                <w:sz w:val="20"/>
              </w:rPr>
              <w:t>$ 3,676,166</w:t>
            </w:r>
          </w:p>
        </w:tc>
      </w:tr>
    </w:tbl>
    <w:p>
      <w:pPr>
        <w:pStyle w:val="TextBody"/>
        <w:bidi w:val="0"/>
        <w:spacing w:before="156" w:after="283"/>
        <w:jc w:val="both"/>
        <w:rPr>
          <w:rFonts w:ascii="sans-serif" w:hAnsi="sans-serif"/>
          <w:color w:val="000000"/>
          <w:sz w:val="20"/>
        </w:rPr>
      </w:pPr>
      <w:r>
        <w:rPr>
          <w:rFonts w:ascii="sans-serif" w:hAnsi="sans-serif"/>
          <w:color w:val="000000"/>
          <w:sz w:val="20"/>
        </w:rPr>
        <w:t>The Company has not identified any uncertain tax positions as of December 31, 2025.</w:t>
      </w:r>
    </w:p>
    <w:p>
      <w:pPr>
        <w:pStyle w:val="TextBody"/>
        <w:bidi w:val="0"/>
        <w:spacing w:before="118" w:after="283"/>
        <w:jc w:val="both"/>
        <w:rPr>
          <w:rFonts w:ascii="sans-serif" w:hAnsi="sans-serif"/>
          <w:color w:val="000000"/>
          <w:sz w:val="20"/>
        </w:rPr>
      </w:pPr>
      <w:r>
        <w:rPr>
          <w:rFonts w:ascii="sans-serif" w:hAnsi="sans-serif"/>
          <w:color w:val="000000"/>
          <w:sz w:val="20"/>
        </w:rPr>
        <w:t>With few exceptions, the Company is no longer subject to U.S. Federal income tax examinations for years before 2015, is no longer subject to state and local income tax examinations by tax authorities for years before 2015 and is no longer subject to income tax examinations by Canadian tax authorities before 2018.</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0"/>
        </w:rPr>
      </w:pPr>
      <w:r>
        <w:rPr>
          <w:rFonts w:ascii="sans-serif" w:hAnsi="sans-serif"/>
          <w:color w:val="000000"/>
          <w:sz w:val="20"/>
        </w:rPr>
        <w:t>Deferred tax liabilities and assets at December 31, 2025 and 2024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60"/>
        <w:gridCol w:w="1800"/>
        <w:gridCol w:w="1845"/>
      </w:tblGrid>
      <w:tr>
        <w:trPr/>
        <w:tc>
          <w:tcPr>
            <w:tcW w:w="656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6560" w:type="dxa"/>
            <w:tcBorders/>
            <w:tcMar>
              <w:top w:w="0" w:type="dxa"/>
              <w:left w:w="0" w:type="dxa"/>
              <w:bottom w:w="0" w:type="dxa"/>
              <w:right w:w="0" w:type="dxa"/>
            </w:tcMar>
            <w:vAlign w:val="center"/>
          </w:tcPr>
          <w:p>
            <w:pPr>
              <w:pStyle w:val="TableContents"/>
              <w:bidi w:val="0"/>
              <w:spacing w:before="0" w:after="283"/>
              <w:ind w:left="0" w:right="0" w:firstLine="506"/>
              <w:jc w:val="left"/>
              <w:rPr/>
            </w:pPr>
            <w:r>
              <w:rPr/>
              <w:t> </w:t>
            </w:r>
          </w:p>
        </w:tc>
        <w:tc>
          <w:tcPr>
            <w:tcW w:w="1800" w:type="dxa"/>
            <w:tcBorders/>
            <w:tcMar>
              <w:top w:w="0" w:type="dxa"/>
              <w:left w:w="0" w:type="dxa"/>
              <w:bottom w:w="0" w:type="dxa"/>
              <w:right w:w="0" w:type="dxa"/>
            </w:tcMar>
            <w:vAlign w:val="center"/>
          </w:tcPr>
          <w:p>
            <w:pPr>
              <w:pStyle w:val="TableContents"/>
              <w:bidi w:val="0"/>
              <w:spacing w:before="0" w:after="283"/>
              <w:ind w:left="0" w:right="0" w:firstLine="506"/>
              <w:jc w:val="center"/>
              <w:rPr>
                <w:rFonts w:ascii="sans-serif" w:hAnsi="sans-serif"/>
                <w:b/>
                <w:color w:val="000000"/>
                <w:sz w:val="20"/>
              </w:rPr>
            </w:pPr>
            <w:r>
              <w:rPr>
                <w:rFonts w:ascii="sans-serif" w:hAnsi="sans-serif"/>
                <w:b/>
                <w:color w:val="000000"/>
                <w:sz w:val="20"/>
              </w:rPr>
              <w:t>2025</w:t>
            </w:r>
          </w:p>
        </w:tc>
        <w:tc>
          <w:tcPr>
            <w:tcW w:w="1845" w:type="dxa"/>
            <w:tcBorders/>
            <w:tcMar>
              <w:top w:w="0" w:type="dxa"/>
              <w:left w:w="0" w:type="dxa"/>
              <w:bottom w:w="0" w:type="dxa"/>
              <w:right w:w="0" w:type="dxa"/>
            </w:tcMar>
            <w:vAlign w:val="center"/>
          </w:tcPr>
          <w:p>
            <w:pPr>
              <w:pStyle w:val="TableContents"/>
              <w:bidi w:val="0"/>
              <w:spacing w:before="0" w:after="283"/>
              <w:ind w:left="0" w:right="0" w:firstLine="50"/>
              <w:jc w:val="center"/>
              <w:rPr>
                <w:rFonts w:ascii="sans-serif" w:hAnsi="sans-serif"/>
                <w:b/>
                <w:color w:val="000000"/>
                <w:sz w:val="20"/>
              </w:rPr>
            </w:pPr>
            <w:r>
              <w:rPr>
                <w:rFonts w:ascii="sans-serif" w:hAnsi="sans-serif"/>
                <w:b/>
                <w:color w:val="000000"/>
                <w:sz w:val="20"/>
              </w:rPr>
              <w:t>2024</w:t>
            </w:r>
          </w:p>
        </w:tc>
      </w:tr>
      <w:tr>
        <w:trPr/>
        <w:tc>
          <w:tcPr>
            <w:tcW w:w="6560"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b/>
                <w:color w:val="000000"/>
                <w:sz w:val="20"/>
              </w:rPr>
            </w:pPr>
            <w:r>
              <w:rPr>
                <w:rFonts w:ascii="sans-serif" w:hAnsi="sans-serif"/>
                <w:b/>
                <w:color w:val="000000"/>
                <w:sz w:val="20"/>
              </w:rPr>
              <w:t>Deferred tax liabilities:</w:t>
            </w:r>
          </w:p>
        </w:tc>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6560" w:type="dxa"/>
            <w:tcBorders/>
            <w:tcMar>
              <w:top w:w="0" w:type="dxa"/>
              <w:left w:w="0" w:type="dxa"/>
              <w:bottom w:w="0" w:type="dxa"/>
              <w:right w:w="0" w:type="dxa"/>
            </w:tcMar>
            <w:vAlign w:val="center"/>
          </w:tcPr>
          <w:p>
            <w:pPr>
              <w:pStyle w:val="TableContents"/>
              <w:bidi w:val="0"/>
              <w:spacing w:before="0" w:after="283"/>
              <w:ind w:left="0" w:right="0" w:firstLine="492"/>
              <w:jc w:val="left"/>
              <w:rPr>
                <w:rFonts w:ascii="sans-serif" w:hAnsi="sans-serif"/>
                <w:color w:val="000000"/>
                <w:sz w:val="20"/>
              </w:rPr>
            </w:pPr>
            <w:r>
              <w:rPr>
                <w:rFonts w:ascii="sans-serif" w:hAnsi="sans-serif"/>
                <w:color w:val="000000"/>
                <w:sz w:val="20"/>
              </w:rPr>
              <w:t>Accelerated depreciation</w:t>
            </w:r>
          </w:p>
        </w:tc>
        <w:tc>
          <w:tcPr>
            <w:tcW w:w="1800" w:type="dxa"/>
            <w:tcBorders/>
            <w:tcMar>
              <w:top w:w="0" w:type="dxa"/>
              <w:left w:w="0" w:type="dxa"/>
              <w:bottom w:w="0" w:type="dxa"/>
              <w:right w:w="0" w:type="dxa"/>
            </w:tcMar>
            <w:vAlign w:val="center"/>
          </w:tcPr>
          <w:p>
            <w:pPr>
              <w:pStyle w:val="TableContents"/>
              <w:bidi w:val="0"/>
              <w:spacing w:before="0" w:after="283"/>
              <w:ind w:left="0" w:right="0" w:firstLine="492"/>
              <w:jc w:val="right"/>
              <w:rPr>
                <w:rFonts w:ascii="sans-serif" w:hAnsi="sans-serif"/>
                <w:color w:val="000000"/>
                <w:sz w:val="20"/>
              </w:rPr>
            </w:pPr>
            <w:r>
              <w:rPr>
                <w:rFonts w:ascii="sans-serif" w:hAnsi="sans-serif"/>
                <w:color w:val="000000"/>
                <w:sz w:val="20"/>
              </w:rPr>
              <w:t>$ 3,423,088</w:t>
            </w:r>
          </w:p>
        </w:tc>
        <w:tc>
          <w:tcPr>
            <w:tcW w:w="1845" w:type="dxa"/>
            <w:tcBorders/>
            <w:tcMar>
              <w:top w:w="0" w:type="dxa"/>
              <w:left w:w="0" w:type="dxa"/>
              <w:bottom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$ 1,409,834</w:t>
            </w:r>
          </w:p>
        </w:tc>
      </w:tr>
      <w:tr>
        <w:trPr/>
        <w:tc>
          <w:tcPr>
            <w:tcW w:w="6560" w:type="dxa"/>
            <w:tcBorders/>
            <w:tcMar>
              <w:top w:w="0" w:type="dxa"/>
              <w:left w:w="0" w:type="dxa"/>
              <w:bottom w:w="0" w:type="dxa"/>
              <w:right w:w="0" w:type="dxa"/>
            </w:tcMar>
            <w:vAlign w:val="center"/>
          </w:tcPr>
          <w:p>
            <w:pPr>
              <w:pStyle w:val="TableContents"/>
              <w:bidi w:val="0"/>
              <w:spacing w:before="0" w:after="283"/>
              <w:ind w:left="0" w:right="0" w:firstLine="461"/>
              <w:jc w:val="left"/>
              <w:rPr>
                <w:rFonts w:ascii="sans-serif" w:hAnsi="sans-serif"/>
                <w:color w:val="000000"/>
                <w:sz w:val="20"/>
              </w:rPr>
            </w:pPr>
            <w:r>
              <w:rPr>
                <w:rFonts w:ascii="sans-serif" w:hAnsi="sans-serif"/>
                <w:color w:val="000000"/>
                <w:sz w:val="20"/>
              </w:rPr>
              <w:t>Difference between book and tax basis of intangible assets</w:t>
            </w:r>
          </w:p>
        </w:tc>
        <w:tc>
          <w:tcPr>
            <w:tcW w:w="1800" w:type="dxa"/>
            <w:tcBorders/>
            <w:tcMar>
              <w:top w:w="0" w:type="dxa"/>
              <w:left w:w="0" w:type="dxa"/>
              <w:bottom w:w="0" w:type="dxa"/>
              <w:right w:w="0" w:type="dxa"/>
            </w:tcMar>
            <w:vAlign w:val="center"/>
          </w:tcPr>
          <w:p>
            <w:pPr>
              <w:pStyle w:val="TableContents"/>
              <w:bidi w:val="0"/>
              <w:spacing w:before="0" w:after="283"/>
              <w:ind w:left="0" w:right="0" w:firstLine="461"/>
              <w:jc w:val="right"/>
              <w:rPr>
                <w:rFonts w:ascii="sans-serif" w:hAnsi="sans-serif"/>
                <w:color w:val="000000"/>
                <w:sz w:val="20"/>
              </w:rPr>
            </w:pPr>
            <w:r>
              <w:rPr>
                <w:rFonts w:ascii="sans-serif" w:hAnsi="sans-serif"/>
                <w:color w:val="000000"/>
                <w:sz w:val="20"/>
              </w:rPr>
              <w:t>27,306,885</w:t>
            </w:r>
          </w:p>
        </w:tc>
        <w:tc>
          <w:tcPr>
            <w:tcW w:w="1845" w:type="dxa"/>
            <w:tcBorders/>
            <w:tcMar>
              <w:top w:w="0" w:type="dxa"/>
              <w:left w:w="0" w:type="dxa"/>
              <w:bottom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29,987,183</w:t>
            </w:r>
          </w:p>
        </w:tc>
      </w:tr>
      <w:tr>
        <w:trPr/>
        <w:tc>
          <w:tcPr>
            <w:tcW w:w="6560" w:type="dxa"/>
            <w:tcBorders/>
            <w:tcMar>
              <w:top w:w="0" w:type="dxa"/>
              <w:left w:w="0" w:type="dxa"/>
              <w:bottom w:w="0" w:type="dxa"/>
              <w:right w:w="0" w:type="dxa"/>
            </w:tcMar>
            <w:vAlign w:val="center"/>
          </w:tcPr>
          <w:p>
            <w:pPr>
              <w:pStyle w:val="TableContents"/>
              <w:bidi w:val="0"/>
              <w:spacing w:before="0" w:after="283"/>
              <w:ind w:left="0" w:right="0" w:firstLine="461"/>
              <w:jc w:val="left"/>
              <w:rPr>
                <w:rFonts w:ascii="sans-serif" w:hAnsi="sans-serif"/>
                <w:color w:val="000000"/>
                <w:sz w:val="20"/>
              </w:rPr>
            </w:pPr>
            <w:r>
              <w:rPr>
                <w:rFonts w:ascii="sans-serif" w:hAnsi="sans-serif"/>
                <w:color w:val="000000"/>
                <w:sz w:val="20"/>
              </w:rPr>
              <w:t>Allowances for returns and uncollectible accounts, long-term incentive compensation and other</w:t>
            </w:r>
          </w:p>
        </w:tc>
        <w:tc>
          <w:tcPr>
            <w:tcW w:w="1800" w:type="dxa"/>
            <w:tcBorders>
              <w:bottom w:val="single" w:sz="4" w:space="0" w:color="000000"/>
            </w:tcBorders>
            <w:tcMar>
              <w:top w:w="0" w:type="dxa"/>
              <w:left w:w="0" w:type="dxa"/>
              <w:right w:w="0" w:type="dxa"/>
            </w:tcMar>
            <w:vAlign w:val="center"/>
          </w:tcPr>
          <w:p>
            <w:pPr>
              <w:pStyle w:val="TableContents"/>
              <w:bidi w:val="0"/>
              <w:spacing w:before="0" w:after="283"/>
              <w:ind w:left="0" w:right="0" w:firstLine="461"/>
              <w:jc w:val="right"/>
              <w:rPr>
                <w:rFonts w:ascii="sans-serif" w:hAnsi="sans-serif"/>
                <w:color w:val="000000"/>
                <w:sz w:val="20"/>
              </w:rPr>
            </w:pPr>
            <w:r>
              <w:rPr>
                <w:rFonts w:ascii="sans-serif" w:hAnsi="sans-serif"/>
                <w:color w:val="000000"/>
                <w:sz w:val="20"/>
              </w:rPr>
              <w:t>2,242,035</w:t>
            </w:r>
          </w:p>
        </w:tc>
        <w:tc>
          <w:tcPr>
            <w:tcW w:w="1845"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713,612</w:t>
            </w:r>
          </w:p>
        </w:tc>
      </w:tr>
      <w:tr>
        <w:trPr/>
        <w:tc>
          <w:tcPr>
            <w:tcW w:w="6560" w:type="dxa"/>
            <w:tcBorders/>
            <w:tcMar>
              <w:top w:w="0" w:type="dxa"/>
              <w:left w:w="0" w:type="dxa"/>
              <w:bottom w:w="0" w:type="dxa"/>
              <w:right w:w="0" w:type="dxa"/>
            </w:tcMar>
            <w:vAlign w:val="center"/>
          </w:tcPr>
          <w:p>
            <w:pPr>
              <w:pStyle w:val="TableContents"/>
              <w:bidi w:val="0"/>
              <w:spacing w:before="0" w:after="283"/>
              <w:ind w:left="0" w:right="0" w:firstLine="461"/>
              <w:jc w:val="left"/>
              <w:rPr>
                <w:rFonts w:ascii="sans-serif" w:hAnsi="sans-serif"/>
                <w:color w:val="000000"/>
                <w:sz w:val="20"/>
              </w:rPr>
            </w:pPr>
            <w:r>
              <w:rPr>
                <w:rFonts w:ascii="sans-serif" w:hAnsi="sans-serif"/>
                <w:color w:val="000000"/>
                <w:sz w:val="20"/>
              </w:rPr>
              <w:t>Total deferred tax liabilities</w:t>
            </w:r>
          </w:p>
        </w:tc>
        <w:tc>
          <w:tcPr>
            <w:tcW w:w="1800" w:type="dxa"/>
            <w:tcBorders>
              <w:bottom w:val="single" w:sz="4" w:space="0" w:color="000000"/>
            </w:tcBorders>
            <w:tcMar>
              <w:top w:w="0" w:type="dxa"/>
              <w:left w:w="0" w:type="dxa"/>
              <w:right w:w="0" w:type="dxa"/>
            </w:tcMar>
            <w:vAlign w:val="center"/>
          </w:tcPr>
          <w:p>
            <w:pPr>
              <w:pStyle w:val="TableContents"/>
              <w:bidi w:val="0"/>
              <w:spacing w:before="0" w:after="283"/>
              <w:ind w:left="0" w:right="0" w:firstLine="461"/>
              <w:jc w:val="right"/>
              <w:rPr>
                <w:rFonts w:ascii="sans-serif" w:hAnsi="sans-serif"/>
                <w:color w:val="000000"/>
                <w:sz w:val="20"/>
              </w:rPr>
            </w:pPr>
            <w:r>
              <w:rPr>
                <w:rFonts w:ascii="sans-serif" w:hAnsi="sans-serif"/>
                <w:color w:val="000000"/>
                <w:sz w:val="20"/>
              </w:rPr>
              <w:t>32,972,008</w:t>
            </w:r>
          </w:p>
        </w:tc>
        <w:tc>
          <w:tcPr>
            <w:tcW w:w="1845"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32,110,629</w:t>
            </w:r>
          </w:p>
        </w:tc>
      </w:tr>
      <w:tr>
        <w:trPr/>
        <w:tc>
          <w:tcPr>
            <w:tcW w:w="6560" w:type="dxa"/>
            <w:tcBorders/>
            <w:tcMar>
              <w:top w:w="0" w:type="dxa"/>
              <w:left w:w="0" w:type="dxa"/>
              <w:bottom w:w="0" w:type="dxa"/>
              <w:right w:w="0" w:type="dxa"/>
            </w:tcMar>
            <w:vAlign w:val="center"/>
          </w:tcPr>
          <w:p>
            <w:pPr>
              <w:pStyle w:val="TableContents"/>
              <w:bidi w:val="0"/>
              <w:spacing w:before="0" w:after="283"/>
              <w:ind w:left="0" w:right="0" w:firstLine="50"/>
              <w:jc w:val="left"/>
              <w:rPr>
                <w:rFonts w:ascii="sans-serif" w:hAnsi="sans-serif"/>
                <w:b/>
                <w:color w:val="000000"/>
                <w:sz w:val="20"/>
              </w:rPr>
            </w:pPr>
            <w:r>
              <w:rPr>
                <w:rFonts w:ascii="sans-serif" w:hAnsi="sans-serif"/>
                <w:b/>
                <w:color w:val="000000"/>
                <w:sz w:val="20"/>
              </w:rPr>
              <w:t>Deferred tax assets:</w:t>
            </w:r>
          </w:p>
        </w:tc>
        <w:tc>
          <w:tcPr>
            <w:tcW w:w="1800" w:type="dxa"/>
            <w:tcBorders/>
            <w:tcMar>
              <w:top w:w="0" w:type="dxa"/>
              <w:left w:w="0" w:type="dxa"/>
              <w:bottom w:w="0" w:type="dxa"/>
              <w:right w:w="0" w:type="dxa"/>
            </w:tcMar>
            <w:vAlign w:val="center"/>
          </w:tcPr>
          <w:p>
            <w:pPr>
              <w:pStyle w:val="TableContents"/>
              <w:bidi w:val="0"/>
              <w:spacing w:before="0" w:after="283"/>
              <w:jc w:val="right"/>
              <w:rPr/>
            </w:pPr>
            <w:r>
              <w:rPr/>
              <w:t> </w:t>
            </w:r>
          </w:p>
        </w:tc>
        <w:tc>
          <w:tcPr>
            <w:tcW w:w="1845" w:type="dxa"/>
            <w:tcBorders/>
            <w:tcMar>
              <w:top w:w="0" w:type="dxa"/>
              <w:left w:w="0" w:type="dxa"/>
              <w:bottom w:w="0" w:type="dxa"/>
              <w:right w:w="0" w:type="dxa"/>
            </w:tcMar>
            <w:vAlign w:val="center"/>
          </w:tcPr>
          <w:p>
            <w:pPr>
              <w:pStyle w:val="TableContents"/>
              <w:bidi w:val="0"/>
              <w:spacing w:before="0" w:after="283"/>
              <w:ind w:left="0" w:right="0" w:firstLine="50"/>
              <w:jc w:val="right"/>
              <w:rPr/>
            </w:pPr>
            <w:r>
              <w:rPr/>
              <w:t> </w:t>
            </w:r>
          </w:p>
        </w:tc>
      </w:tr>
      <w:tr>
        <w:trPr/>
        <w:tc>
          <w:tcPr>
            <w:tcW w:w="6560" w:type="dxa"/>
            <w:tcBorders/>
            <w:tcMar>
              <w:top w:w="0" w:type="dxa"/>
              <w:left w:w="0" w:type="dxa"/>
              <w:bottom w:w="0" w:type="dxa"/>
              <w:right w:w="0" w:type="dxa"/>
            </w:tcMar>
            <w:vAlign w:val="center"/>
          </w:tcPr>
          <w:p>
            <w:pPr>
              <w:pStyle w:val="TableContents"/>
              <w:bidi w:val="0"/>
              <w:spacing w:before="0" w:after="283"/>
              <w:ind w:left="0" w:right="0" w:firstLine="461"/>
              <w:jc w:val="left"/>
              <w:rPr>
                <w:rFonts w:ascii="sans-serif" w:hAnsi="sans-serif"/>
                <w:color w:val="000000"/>
                <w:sz w:val="20"/>
              </w:rPr>
            </w:pPr>
            <w:r>
              <w:rPr>
                <w:rFonts w:ascii="sans-serif" w:hAnsi="sans-serif"/>
                <w:color w:val="000000"/>
                <w:sz w:val="20"/>
              </w:rPr>
              <w:t>Operating loss, capital loss and tax credit carryforwards</w:t>
            </w:r>
          </w:p>
        </w:tc>
        <w:tc>
          <w:tcPr>
            <w:tcW w:w="1800" w:type="dxa"/>
            <w:tcBorders>
              <w:bottom w:val="single" w:sz="4" w:space="0" w:color="000000"/>
            </w:tcBorders>
            <w:tcMar>
              <w:top w:w="0" w:type="dxa"/>
              <w:left w:w="0" w:type="dxa"/>
              <w:right w:w="0" w:type="dxa"/>
            </w:tcMar>
            <w:vAlign w:val="center"/>
          </w:tcPr>
          <w:p>
            <w:pPr>
              <w:pStyle w:val="TableContents"/>
              <w:bidi w:val="0"/>
              <w:spacing w:before="0" w:after="283"/>
              <w:ind w:left="0" w:right="0" w:firstLine="461"/>
              <w:jc w:val="right"/>
              <w:rPr>
                <w:rFonts w:ascii="sans-serif" w:hAnsi="sans-serif"/>
                <w:color w:val="000000"/>
                <w:sz w:val="20"/>
              </w:rPr>
            </w:pPr>
            <w:r>
              <w:rPr>
                <w:rFonts w:ascii="sans-serif" w:hAnsi="sans-serif"/>
                <w:color w:val="000000"/>
                <w:sz w:val="20"/>
              </w:rPr>
              <w:t>3,164,517</w:t>
            </w:r>
          </w:p>
        </w:tc>
        <w:tc>
          <w:tcPr>
            <w:tcW w:w="1845"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2,798,445</w:t>
            </w:r>
          </w:p>
        </w:tc>
      </w:tr>
      <w:tr>
        <w:trPr/>
        <w:tc>
          <w:tcPr>
            <w:tcW w:w="6560" w:type="dxa"/>
            <w:tcBorders/>
            <w:tcMar>
              <w:top w:w="0" w:type="dxa"/>
              <w:left w:w="0" w:type="dxa"/>
              <w:bottom w:w="0" w:type="dxa"/>
              <w:right w:w="0" w:type="dxa"/>
            </w:tcMar>
            <w:vAlign w:val="center"/>
          </w:tcPr>
          <w:p>
            <w:pPr>
              <w:pStyle w:val="TableContents"/>
              <w:bidi w:val="0"/>
              <w:spacing w:before="0" w:after="283"/>
              <w:ind w:left="0" w:right="0" w:firstLine="441"/>
              <w:jc w:val="left"/>
              <w:rPr>
                <w:rFonts w:ascii="sans-serif" w:hAnsi="sans-serif"/>
                <w:color w:val="000000"/>
                <w:sz w:val="20"/>
              </w:rPr>
            </w:pPr>
            <w:r>
              <w:rPr>
                <w:rFonts w:ascii="sans-serif" w:hAnsi="sans-serif"/>
                <w:color w:val="000000"/>
                <w:sz w:val="20"/>
              </w:rPr>
              <w:t>Valuation allowances</w:t>
            </w:r>
          </w:p>
        </w:tc>
        <w:tc>
          <w:tcPr>
            <w:tcW w:w="1800" w:type="dxa"/>
            <w:tcBorders>
              <w:bottom w:val="single" w:sz="4" w:space="0" w:color="000000"/>
            </w:tcBorders>
            <w:tcMar>
              <w:top w:w="0" w:type="dxa"/>
              <w:left w:w="0" w:type="dxa"/>
              <w:right w:w="0" w:type="dxa"/>
            </w:tcMar>
            <w:vAlign w:val="center"/>
          </w:tcPr>
          <w:p>
            <w:pPr>
              <w:pStyle w:val="TableContents"/>
              <w:bidi w:val="0"/>
              <w:spacing w:before="0" w:after="283"/>
              <w:ind w:left="0" w:right="0" w:firstLine="441"/>
              <w:jc w:val="right"/>
              <w:rPr>
                <w:rFonts w:ascii="sans-serif" w:hAnsi="sans-serif"/>
                <w:color w:val="000000"/>
                <w:sz w:val="20"/>
              </w:rPr>
            </w:pPr>
            <w:r>
              <w:rPr>
                <w:rFonts w:ascii="sans-serif" w:hAnsi="sans-serif"/>
                <w:color w:val="000000"/>
                <w:sz w:val="20"/>
              </w:rPr>
              <w:t>(3,111,008)</w:t>
            </w:r>
          </w:p>
        </w:tc>
        <w:tc>
          <w:tcPr>
            <w:tcW w:w="1845"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(2,684,688)</w:t>
            </w:r>
          </w:p>
        </w:tc>
      </w:tr>
      <w:tr>
        <w:trPr/>
        <w:tc>
          <w:tcPr>
            <w:tcW w:w="6560" w:type="dxa"/>
            <w:tcBorders/>
            <w:tcMar>
              <w:top w:w="0" w:type="dxa"/>
              <w:left w:w="0" w:type="dxa"/>
              <w:bottom w:w="0" w:type="dxa"/>
              <w:right w:w="0" w:type="dxa"/>
            </w:tcMar>
            <w:vAlign w:val="center"/>
          </w:tcPr>
          <w:p>
            <w:pPr>
              <w:pStyle w:val="TableContents"/>
              <w:bidi w:val="0"/>
              <w:spacing w:before="0" w:after="283"/>
              <w:ind w:left="0" w:right="0" w:firstLine="461"/>
              <w:jc w:val="left"/>
              <w:rPr>
                <w:rFonts w:ascii="sans-serif" w:hAnsi="sans-serif"/>
                <w:color w:val="000000"/>
                <w:sz w:val="20"/>
              </w:rPr>
            </w:pPr>
            <w:r>
              <w:rPr>
                <w:rFonts w:ascii="sans-serif" w:hAnsi="sans-serif"/>
                <w:color w:val="000000"/>
                <w:sz w:val="20"/>
              </w:rPr>
              <w:t>Total deferred tax assets</w:t>
            </w:r>
          </w:p>
        </w:tc>
        <w:tc>
          <w:tcPr>
            <w:tcW w:w="1800" w:type="dxa"/>
            <w:tcBorders>
              <w:bottom w:val="single" w:sz="4" w:space="0" w:color="000000"/>
            </w:tcBorders>
            <w:tcMar>
              <w:top w:w="0" w:type="dxa"/>
              <w:left w:w="0" w:type="dxa"/>
              <w:right w:w="0" w:type="dxa"/>
            </w:tcMar>
            <w:vAlign w:val="center"/>
          </w:tcPr>
          <w:p>
            <w:pPr>
              <w:pStyle w:val="TableContents"/>
              <w:bidi w:val="0"/>
              <w:spacing w:before="0" w:after="283"/>
              <w:ind w:left="0" w:right="0" w:firstLine="461"/>
              <w:jc w:val="right"/>
              <w:rPr>
                <w:rFonts w:ascii="sans-serif" w:hAnsi="sans-serif"/>
                <w:color w:val="000000"/>
                <w:sz w:val="20"/>
              </w:rPr>
            </w:pPr>
            <w:r>
              <w:rPr>
                <w:rFonts w:ascii="sans-serif" w:hAnsi="sans-serif"/>
                <w:color w:val="000000"/>
                <w:sz w:val="20"/>
              </w:rPr>
              <w:t>52,509</w:t>
            </w:r>
          </w:p>
        </w:tc>
        <w:tc>
          <w:tcPr>
            <w:tcW w:w="1845"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right"/>
              <w:rPr>
                <w:rFonts w:ascii="sans-serif" w:hAnsi="sans-serif"/>
                <w:color w:val="000000"/>
                <w:sz w:val="20"/>
              </w:rPr>
            </w:pPr>
            <w:r>
              <w:rPr>
                <w:rFonts w:ascii="sans-serif" w:hAnsi="sans-serif"/>
                <w:color w:val="000000"/>
                <w:sz w:val="20"/>
              </w:rPr>
              <w:t>113,757</w:t>
            </w:r>
          </w:p>
        </w:tc>
      </w:tr>
      <w:tr>
        <w:trPr/>
        <w:tc>
          <w:tcPr>
            <w:tcW w:w="6560" w:type="dxa"/>
            <w:tcBorders/>
            <w:tcMar>
              <w:top w:w="0" w:type="dxa"/>
              <w:left w:w="0" w:type="dxa"/>
              <w:bottom w:w="0" w:type="dxa"/>
              <w:right w:w="0" w:type="dxa"/>
            </w:tcMar>
            <w:vAlign w:val="center"/>
          </w:tcPr>
          <w:p>
            <w:pPr>
              <w:pStyle w:val="TableContents"/>
              <w:bidi w:val="0"/>
              <w:spacing w:before="0" w:after="283"/>
              <w:ind w:left="0" w:right="0" w:firstLine="403"/>
              <w:jc w:val="left"/>
              <w:rPr>
                <w:rFonts w:ascii="sans-serif" w:hAnsi="sans-serif"/>
                <w:color w:val="000000"/>
                <w:sz w:val="20"/>
              </w:rPr>
            </w:pPr>
            <w:r>
              <w:rPr>
                <w:rFonts w:ascii="sans-serif" w:hAnsi="sans-serif"/>
                <w:color w:val="000000"/>
                <w:sz w:val="20"/>
              </w:rPr>
              <w:t>Net deferred tax liabilities</w:t>
            </w:r>
          </w:p>
        </w:tc>
        <w:tc>
          <w:tcPr>
            <w:tcW w:w="1800" w:type="dxa"/>
            <w:tcBorders>
              <w:bottom w:val="double" w:sz="4" w:space="0" w:color="000000"/>
            </w:tcBorders>
            <w:tcMar>
              <w:top w:w="0" w:type="dxa"/>
              <w:left w:w="0" w:type="dxa"/>
              <w:right w:w="0" w:type="dxa"/>
            </w:tcMar>
            <w:vAlign w:val="center"/>
          </w:tcPr>
          <w:p>
            <w:pPr>
              <w:pStyle w:val="TableContents"/>
              <w:bidi w:val="0"/>
              <w:spacing w:before="0" w:after="283"/>
              <w:ind w:left="0" w:right="0" w:firstLine="434"/>
              <w:jc w:val="right"/>
              <w:rPr>
                <w:rFonts w:ascii="sans-serif" w:hAnsi="sans-serif"/>
                <w:color w:val="000000"/>
                <w:sz w:val="20"/>
              </w:rPr>
            </w:pPr>
            <w:r>
              <w:rPr>
                <w:rFonts w:ascii="sans-serif" w:hAnsi="sans-serif"/>
                <w:color w:val="000000"/>
                <w:sz w:val="20"/>
              </w:rPr>
              <w:t>$ 32,918,499</w:t>
            </w:r>
          </w:p>
        </w:tc>
        <w:tc>
          <w:tcPr>
            <w:tcW w:w="1845" w:type="dxa"/>
            <w:tcBorders>
              <w:bottom w:val="double" w:sz="4" w:space="0" w:color="000000"/>
            </w:tcBorders>
            <w:tcMar>
              <w:top w:w="0" w:type="dxa"/>
              <w:left w:w="0" w:type="dxa"/>
              <w:right w:w="0" w:type="dxa"/>
            </w:tcMar>
            <w:vAlign w:val="center"/>
          </w:tcPr>
          <w:p>
            <w:pPr>
              <w:pStyle w:val="TableContents"/>
              <w:bidi w:val="0"/>
              <w:spacing w:before="0" w:after="283"/>
              <w:ind w:left="0" w:right="0" w:firstLine="434"/>
              <w:jc w:val="right"/>
              <w:rPr>
                <w:rFonts w:ascii="sans-serif" w:hAnsi="sans-serif"/>
                <w:color w:val="000000"/>
                <w:sz w:val="20"/>
              </w:rPr>
            </w:pPr>
            <w:r>
              <w:rPr>
                <w:rFonts w:ascii="sans-serif" w:hAnsi="sans-serif"/>
                <w:color w:val="000000"/>
                <w:sz w:val="20"/>
              </w:rPr>
              <w:t>$ 31,996,872</w:t>
            </w:r>
          </w:p>
        </w:tc>
      </w:tr>
    </w:tbl>
    <w:p>
      <w:pPr>
        <w:pStyle w:val="TextBody"/>
        <w:bidi w:val="0"/>
        <w:jc w:val="left"/>
        <w:rPr/>
      </w:pPr>
      <w:r>
        <w:rPr/>
        <w:t> </w:t>
      </w:r>
    </w:p>
    <w:p>
      <w:pPr>
        <w:pStyle w:val="TextBody"/>
        <w:bidi w:val="0"/>
        <w:spacing w:before="1" w:after="283"/>
        <w:jc w:val="both"/>
        <w:rPr>
          <w:rFonts w:ascii="sans-serif" w:hAnsi="sans-serif"/>
          <w:color w:val="000000"/>
          <w:sz w:val="20"/>
        </w:rPr>
      </w:pPr>
      <w:r>
        <w:rPr>
          <w:rFonts w:ascii="sans-serif" w:hAnsi="sans-serif"/>
          <w:color w:val="000000"/>
          <w:sz w:val="20"/>
        </w:rPr>
        <w:t>At December 31, 2025, the Corporation had net operating loss, capital loss and tax credit carryforwards of $23,510,960 (related tax benefit is $3,164,517) expiring through 2046. The valuation allowance represents the uncertainty associated with the realization of the tax benefits of certain state and foreign net operating loss, capital loss and tax credit carryforwards (tax-effected) of approximately $3,111,008 and $2,684,688 for 2025 and 2024, respectively. The change in valuation allowances for 2025 of $426,320 is due primarily to changes of the state operating loss carryforward and foreign capital loss carryforwards for which recognition was determined to not meet the “more likely than not” criteria. Federal, state, local and foreign income tax payments during 2025 and 2024 were $3,274,753 and $7,500,494, respectively.</w:t>
      </w:r>
    </w:p>
    <w:p>
      <w:pPr>
        <w:pStyle w:val="TextBody"/>
        <w:bidi w:val="0"/>
        <w:spacing w:before="120" w:after="283"/>
        <w:jc w:val="left"/>
        <w:rPr>
          <w:rFonts w:ascii="sans-serif" w:hAnsi="sans-serif"/>
          <w:b/>
          <w:color w:val="000000"/>
          <w:sz w:val="20"/>
        </w:rPr>
      </w:pPr>
      <w:r>
        <w:rPr>
          <w:rFonts w:ascii="sans-serif" w:hAnsi="sans-serif"/>
          <w:b/>
          <w:color w:val="000000"/>
          <w:sz w:val="20"/>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sans-serif" w:hAnsi="sans-serif"/>
          <w:b/>
          <w:color w:val="000000"/>
          <w:sz w:val="20"/>
        </w:rPr>
      </w:pPr>
      <w:r>
        <w:rPr>
          <w:rFonts w:ascii="sans-serif" w:hAnsi="sans-serif"/>
          <w:b/>
          <w:color w:val="000000"/>
          <w:sz w:val="20"/>
        </w:rPr>
        <w:t>RELATED-PARTY TRANSACTIONS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1" w:after="283"/>
        <w:jc w:val="both"/>
        <w:rPr>
          <w:rFonts w:ascii="sans-serif" w:hAnsi="sans-serif"/>
          <w:color w:val="000000"/>
          <w:sz w:val="20"/>
        </w:rPr>
      </w:pPr>
      <w:r>
        <w:rPr>
          <w:rFonts w:ascii="sans-serif" w:hAnsi="sans-serif"/>
          <w:color w:val="000000"/>
          <w:sz w:val="20"/>
        </w:rPr>
        <w:t>The Company enters into transactions with Hearst Communications, Inc. ("Hearst") and its affiliates in the ordinary course of business. These transactions include financing arrangements, allocations of corporate and administrative expenses, insurance costs, tax-sharing arrangements, and reimbursement of expenditures paid by Hearst on behalf of the Company.</w:t>
      </w:r>
    </w:p>
    <w:p>
      <w:pPr>
        <w:pStyle w:val="TextBody"/>
        <w:bidi w:val="0"/>
        <w:spacing w:before="120" w:after="283"/>
        <w:jc w:val="both"/>
        <w:rPr>
          <w:rFonts w:ascii="sans-serif" w:hAnsi="sans-serif"/>
          <w:color w:val="000000"/>
          <w:sz w:val="20"/>
        </w:rPr>
      </w:pPr>
      <w:r>
        <w:rPr>
          <w:rFonts w:ascii="sans-serif" w:hAnsi="sans-serif"/>
          <w:color w:val="000000"/>
          <w:sz w:val="20"/>
        </w:rPr>
        <w:t>Hearst provides certain corporate, administrative, management, insurance, treasury, legal, information technology, and other shared services to the Company. Charges for these services are allocated to the Company pursuant to intercompany arrangements and allocation methodologies established by Hearst. Management believes the allocation methodologies are reasonable and reflect the costs of services provided.</w:t>
      </w:r>
    </w:p>
    <w:p>
      <w:pPr>
        <w:pStyle w:val="TextBody"/>
        <w:bidi w:val="0"/>
        <w:spacing w:before="118" w:after="283"/>
        <w:jc w:val="both"/>
        <w:rPr>
          <w:rFonts w:ascii="sans-serif" w:hAnsi="sans-serif"/>
          <w:color w:val="000000"/>
          <w:sz w:val="20"/>
        </w:rPr>
      </w:pPr>
      <w:r>
        <w:rPr>
          <w:rFonts w:ascii="sans-serif" w:hAnsi="sans-serif"/>
          <w:color w:val="000000"/>
          <w:sz w:val="20"/>
        </w:rPr>
        <w:t>The Company is included in Hearst's combined and consolidated federal income tax return and certain state and local income tax filings. Income tax expense is allocated to the Company pursuant to a tax-sharing agreement with Hearst.</w:t>
      </w:r>
    </w:p>
    <w:p>
      <w:pPr>
        <w:pStyle w:val="TextBody"/>
        <w:bidi w:val="0"/>
        <w:spacing w:before="41" w:after="283"/>
        <w:jc w:val="both"/>
        <w:rPr>
          <w:rFonts w:ascii="sans-serif" w:hAnsi="sans-serif"/>
          <w:color w:val="000000"/>
          <w:sz w:val="20"/>
        </w:rPr>
      </w:pPr>
      <w:r>
        <w:rPr>
          <w:rFonts w:ascii="sans-serif" w:hAnsi="sans-serif"/>
          <w:color w:val="000000"/>
          <w:sz w:val="20"/>
        </w:rPr>
        <w:t>Expenses allocated to the Company for shared services, insurance, management fees, and tax-related services included in General and administrative in the combined and consolidated statements of operations totaled $8,012,186 and $5,009,013, for the years ended December 31, 2025, and 2024, respectively.</w:t>
      </w:r>
    </w:p>
    <w:p>
      <w:pPr>
        <w:pStyle w:val="TextBody"/>
        <w:bidi w:val="0"/>
        <w:spacing w:before="119" w:after="283"/>
        <w:jc w:val="both"/>
        <w:rPr>
          <w:rFonts w:ascii="sans-serif" w:hAnsi="sans-serif"/>
          <w:color w:val="000000"/>
          <w:sz w:val="20"/>
        </w:rPr>
      </w:pPr>
      <w:r>
        <w:rPr>
          <w:rFonts w:ascii="sans-serif" w:hAnsi="sans-serif"/>
          <w:color w:val="000000"/>
          <w:sz w:val="20"/>
        </w:rPr>
        <w:t>On August 28, 2014, the Company entered into a loan agreement with its parent company, The Hearst Communications, Inc. with an original principal amount of $125,000,000. The note bears interest at 5.75% per annum and interest is compounded monthly. Repayments are based on the Company's distributable cash, as defined in the agreement, and are determined on a monthly basis. The note was due on August 28, 2024, and as such, is classified as current in the combined and consolidated balance sheet.</w:t>
      </w:r>
    </w:p>
    <w:p>
      <w:pPr>
        <w:pStyle w:val="TextBody"/>
        <w:bidi w:val="0"/>
        <w:spacing w:before="120" w:after="283"/>
        <w:jc w:val="both"/>
        <w:rPr>
          <w:rFonts w:ascii="sans-serif" w:hAnsi="sans-serif"/>
          <w:color w:val="000000"/>
          <w:sz w:val="20"/>
        </w:rPr>
      </w:pPr>
      <w:r>
        <w:rPr>
          <w:rFonts w:ascii="sans-serif" w:hAnsi="sans-serif"/>
          <w:color w:val="000000"/>
          <w:sz w:val="20"/>
        </w:rPr>
        <w:t>During the years ended December 31, 2025, and 2024, the Company made principal repayments of $9.0 million and</w:t>
      </w:r>
    </w:p>
    <w:p>
      <w:pPr>
        <w:pStyle w:val="TextBody"/>
        <w:bidi w:val="0"/>
        <w:spacing w:before="1" w:after="283"/>
        <w:jc w:val="both"/>
        <w:rPr>
          <w:rFonts w:ascii="sans-serif" w:hAnsi="sans-serif"/>
          <w:color w:val="000000"/>
          <w:sz w:val="20"/>
        </w:rPr>
      </w:pPr>
      <w:r>
        <w:rPr>
          <w:rFonts w:ascii="sans-serif" w:hAnsi="sans-serif"/>
          <w:color w:val="000000"/>
          <w:sz w:val="20"/>
        </w:rPr>
        <w:t>$12.2 million, respectively. Interest expense recorded in the combined and consolidated statements of operations related to the note was $805,897 and $1,202,609 for the years ended December 31, 2025, and 2024, respectively.</w:t>
      </w:r>
    </w:p>
    <w:p>
      <w:pPr>
        <w:pStyle w:val="TextBody"/>
        <w:bidi w:val="0"/>
        <w:spacing w:before="119" w:after="283"/>
        <w:jc w:val="left"/>
        <w:rPr>
          <w:rFonts w:ascii="sans-serif" w:hAnsi="sans-serif"/>
          <w:b/>
          <w:color w:val="000000"/>
          <w:sz w:val="20"/>
        </w:rPr>
      </w:pPr>
      <w:r>
        <w:rPr>
          <w:rFonts w:ascii="sans-serif" w:hAnsi="sans-serif"/>
          <w:b/>
          <w:color w:val="000000"/>
          <w:sz w:val="20"/>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19" w:after="283"/>
        <w:jc w:val="left"/>
        <w:rPr>
          <w:rFonts w:ascii="sans-serif" w:hAnsi="sans-serif"/>
          <w:b/>
          <w:color w:val="000000"/>
          <w:sz w:val="20"/>
        </w:rPr>
      </w:pPr>
      <w:r>
        <w:rPr>
          <w:rFonts w:ascii="sans-serif" w:hAnsi="sans-serif"/>
          <w:b/>
          <w:color w:val="000000"/>
          <w:sz w:val="20"/>
        </w:rPr>
        <w:t>RISKS AND CONCENTRATIONS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1" w:after="283"/>
        <w:jc w:val="both"/>
        <w:rPr>
          <w:rFonts w:ascii="sans-serif" w:hAnsi="sans-serif"/>
          <w:color w:val="000000"/>
          <w:sz w:val="20"/>
        </w:rPr>
      </w:pPr>
      <w:r>
        <w:rPr>
          <w:rFonts w:ascii="sans-serif" w:hAnsi="sans-serif"/>
          <w:color w:val="000000"/>
          <w:sz w:val="20"/>
        </w:rPr>
        <w:t>The Company is potentially subject to concentration of credit risk primarily through its accounts receivable. The Company performs ongoing credit evaluations of its customers and maintains allowances for expected credit losses. The Company generally does not require collateral. Credit risk is mitigated by the large and diverse nature of the Company's customer base.</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both"/>
        <w:rPr>
          <w:rFonts w:ascii="sans-serif" w:hAnsi="sans-serif"/>
          <w:color w:val="000000"/>
          <w:sz w:val="20"/>
        </w:rPr>
      </w:pPr>
      <w:r>
        <w:rPr>
          <w:rFonts w:ascii="sans-serif" w:hAnsi="sans-serif"/>
          <w:color w:val="000000"/>
          <w:sz w:val="20"/>
        </w:rPr>
        <w:t>No customer represented more than 10% of total accounts receivable as of December 31, 2025 and 2024. For the year ended December 31, 2025, Customer B represented approximately 11.9% of total revenue. No customer represented more than 10% of total revenue for the years ended December 31, 2024.</w:t>
      </w:r>
    </w:p>
    <w:p>
      <w:pPr>
        <w:pStyle w:val="TextBody"/>
        <w:bidi w:val="0"/>
        <w:spacing w:before="119" w:after="283"/>
        <w:jc w:val="left"/>
        <w:rPr>
          <w:rFonts w:ascii="sans-serif" w:hAnsi="sans-serif"/>
          <w:b/>
          <w:color w:val="000000"/>
          <w:sz w:val="20"/>
        </w:rPr>
      </w:pPr>
      <w:r>
        <w:rPr>
          <w:rFonts w:ascii="sans-serif" w:hAnsi="sans-serif"/>
          <w:b/>
          <w:color w:val="000000"/>
          <w:sz w:val="20"/>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19" w:after="283"/>
        <w:jc w:val="left"/>
        <w:rPr>
          <w:rFonts w:ascii="sans-serif" w:hAnsi="sans-serif"/>
          <w:b/>
          <w:color w:val="000000"/>
          <w:sz w:val="20"/>
        </w:rPr>
      </w:pPr>
      <w:r>
        <w:rPr>
          <w:rFonts w:ascii="sans-serif" w:hAnsi="sans-serif"/>
          <w:b/>
          <w:color w:val="000000"/>
          <w:sz w:val="20"/>
        </w:rPr>
        <w:t>SUBSEQUENT EVENTS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1" w:after="283"/>
        <w:jc w:val="both"/>
        <w:rPr>
          <w:rFonts w:ascii="sans-serif" w:hAnsi="sans-serif"/>
          <w:color w:val="000000"/>
          <w:sz w:val="20"/>
        </w:rPr>
      </w:pPr>
      <w:r>
        <w:rPr>
          <w:rFonts w:ascii="sans-serif" w:hAnsi="sans-serif"/>
          <w:color w:val="000000"/>
          <w:sz w:val="20"/>
        </w:rPr>
        <w:t>On March 30, 2026, the Company's parent entered into a definitive agreement pursuant to which the Company would be acquired by REPAY Holdings Corporation ("REPAY"). The transaction closed on June 1, 2026.</w:t>
      </w:r>
    </w:p>
    <w:p>
      <w:pPr>
        <w:pStyle w:val="TextBody"/>
        <w:bidi w:val="0"/>
        <w:spacing w:before="119" w:after="283"/>
        <w:jc w:val="both"/>
        <w:rPr>
          <w:rFonts w:ascii="sans-serif" w:hAnsi="sans-serif"/>
          <w:color w:val="000000"/>
          <w:sz w:val="20"/>
        </w:rPr>
      </w:pPr>
      <w:r>
        <w:rPr>
          <w:rFonts w:ascii="sans-serif" w:hAnsi="sans-serif"/>
          <w:color w:val="000000"/>
          <w:sz w:val="20"/>
        </w:rPr>
        <w:t>The acquisition constitutes a non-recognized subsequent event as the agreement was executed subsequent to December 31, 2025. Accordingly, no adjustments have been made to the accompanying financial statements. Management evaluated subsequent events through July 15, 2026, the date the financial statements were available to be issued.</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10" w:name="rpay-ex99_2.htm"/>
      <w:bookmarkStart w:id="11" w:name="ksrpayex99_2"/>
      <w:bookmarkEnd w:id="10"/>
      <w:bookmarkEnd w:id="11"/>
      <w:r>
        <w:rPr>
          <w:rFonts w:ascii="Times New Roman" w:hAnsi="Times New Roman"/>
          <w:b/>
          <w:color w:val="000000"/>
          <w:sz w:val="22"/>
        </w:rPr>
        <w:t>Exhibit 99.2</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4" w:after="283"/>
        <w:jc w:val="left"/>
        <w:rPr/>
      </w:pPr>
      <w:r>
        <w:rPr/>
        <w:t> </w:t>
      </w:r>
    </w:p>
    <w:p>
      <w:pPr>
        <w:pStyle w:val="TextBody"/>
        <w:bidi w:val="0"/>
        <w:spacing w:before="1" w:after="283"/>
        <w:jc w:val="left"/>
        <w:rPr>
          <w:rFonts w:ascii="sans-serif" w:hAnsi="sans-serif"/>
          <w:color w:val="000000"/>
          <w:sz w:val="52"/>
        </w:rPr>
      </w:pPr>
      <w:r>
        <w:rPr>
          <w:rFonts w:ascii="sans-serif" w:hAnsi="sans-serif"/>
          <w:color w:val="000000"/>
          <w:sz w:val="52"/>
        </w:rPr>
        <w:t>KUBRA Holdings, Inc. and subsidiaries, and KUBRA Data Transfer Ltd.</w:t>
      </w:r>
    </w:p>
    <w:p>
      <w:pPr>
        <w:pStyle w:val="Heading1"/>
        <w:bidi w:val="0"/>
        <w:spacing w:before="209" w:after="283"/>
        <w:jc w:val="left"/>
        <w:rPr>
          <w:rFonts w:ascii="sans-serif" w:hAnsi="sans-serif"/>
          <w:b w:val="false"/>
          <w:color w:val="000000"/>
          <w:sz w:val="28"/>
        </w:rPr>
      </w:pPr>
      <w:r>
        <w:rPr>
          <w:rFonts w:ascii="sans-serif" w:hAnsi="sans-serif"/>
          <w:b w:val="false"/>
          <w:color w:val="000000"/>
          <w:sz w:val="28"/>
        </w:rPr>
        <w:t>Condensed Combined and Consolidated Financial Statements (Unaudited) as of and for the Three Months Ended March 31, 2026</w:t>
      </w:r>
    </w:p>
    <w:p>
      <w:pPr>
        <w:pStyle w:val="Heading1"/>
        <w:bidi w:val="0"/>
        <w:spacing w:before="209"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 w:after="283"/>
        <w:jc w:val="left"/>
        <w:rPr>
          <w:rFonts w:ascii="sans-serif" w:hAnsi="sans-serif"/>
          <w:b/>
          <w:color w:val="000000"/>
          <w:sz w:val="28"/>
        </w:rPr>
      </w:pPr>
      <w:r>
        <w:rPr>
          <w:rFonts w:ascii="sans-serif" w:hAnsi="sans-serif"/>
          <w:b/>
          <w:color w:val="000000"/>
          <w:sz w:val="28"/>
        </w:rPr>
        <w:t>KUBRA HOLDINGS, INC. AND SUBSIDIARIES, AND KUBRA DATA TRANSFER LTD.</w:t>
      </w:r>
    </w:p>
    <w:p>
      <w:pPr>
        <w:pStyle w:val="TextBody"/>
        <w:bidi w:val="0"/>
        <w:spacing w:before="281" w:after="283"/>
        <w:jc w:val="center"/>
        <w:rPr>
          <w:rFonts w:ascii="sans-serif" w:hAnsi="sans-serif"/>
          <w:b/>
          <w:color w:val="000000"/>
          <w:sz w:val="24"/>
          <w:u w:val="single"/>
        </w:rPr>
      </w:pPr>
      <w:r>
        <w:rPr>
          <w:rFonts w:ascii="sans-serif" w:hAnsi="sans-serif"/>
          <w:b/>
          <w:color w:val="000000"/>
          <w:sz w:val="24"/>
          <w:u w:val="single"/>
        </w:rPr>
        <w:t>TABLE OF CONTENTS</w:t>
      </w:r>
    </w:p>
    <w:p>
      <w:pPr>
        <w:pStyle w:val="TextBody"/>
        <w:bidi w:val="0"/>
        <w:spacing w:before="218" w:after="283"/>
        <w:jc w:val="left"/>
        <w:rPr/>
      </w:pPr>
      <w:r>
        <w:rPr/>
        <w:t> </w:t>
      </w:r>
    </w:p>
    <w:tbl>
      <w:tblPr>
        <w:tblW w:w="10205" w:type="dxa"/>
        <w:jc w:val="left"/>
        <w:tblInd w:w="0" w:type="dxa"/>
        <w:tblLayout w:type="fixed"/>
        <w:tblCellMar>
          <w:top w:w="28" w:type="dxa"/>
          <w:left w:w="28" w:type="dxa"/>
          <w:bottom w:w="28" w:type="dxa"/>
          <w:right w:w="28" w:type="dxa"/>
        </w:tblCellMar>
      </w:tblPr>
      <w:tblGrid>
        <w:gridCol w:w="9278"/>
        <w:gridCol w:w="146"/>
        <w:gridCol w:w="781"/>
      </w:tblGrid>
      <w:tr>
        <w:trPr/>
        <w:tc>
          <w:tcPr>
            <w:tcW w:w="9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9278"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center"/>
              <w:rPr/>
            </w:pPr>
            <w:r>
              <w:rPr/>
              <w:t> </w:t>
            </w:r>
          </w:p>
        </w:tc>
        <w:tc>
          <w:tcPr>
            <w:tcW w:w="781" w:type="dxa"/>
            <w:tcBorders/>
            <w:tcMar>
              <w:top w:w="0" w:type="dxa"/>
              <w:left w:w="0" w:type="dxa"/>
              <w:bottom w:w="0" w:type="dxa"/>
              <w:right w:w="0" w:type="dxa"/>
            </w:tcMar>
            <w:vAlign w:val="center"/>
          </w:tcPr>
          <w:p>
            <w:pPr>
              <w:pStyle w:val="TableContents"/>
              <w:bidi w:val="0"/>
              <w:spacing w:before="0" w:after="200"/>
              <w:jc w:val="left"/>
              <w:rPr>
                <w:rFonts w:ascii="sans-serif" w:hAnsi="sans-serif"/>
                <w:b/>
                <w:color w:val="000000"/>
                <w:sz w:val="22"/>
              </w:rPr>
            </w:pPr>
            <w:r>
              <w:rPr>
                <w:rFonts w:ascii="sans-serif" w:hAnsi="sans-serif"/>
                <w:b/>
                <w:color w:val="000000"/>
                <w:sz w:val="22"/>
              </w:rPr>
              <w:t>Page</w:t>
            </w:r>
          </w:p>
        </w:tc>
      </w:tr>
      <w:tr>
        <w:trPr/>
        <w:tc>
          <w:tcPr>
            <w:tcW w:w="9278"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2"/>
              </w:rPr>
            </w:pPr>
            <w:r>
              <w:rPr>
                <w:rFonts w:ascii="sans-serif" w:hAnsi="sans-serif"/>
                <w:color w:val="000000"/>
                <w:sz w:val="22"/>
              </w:rPr>
              <w:t>CONDENSED COMBINED AND CONSOLIDATED FINANCIAL STATEMENTS AS OF AND FOR THE THREE MONTHS ENDED MARCH 31, 2026 (UNAUDITED):</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ind w:left="0" w:right="0" w:firstLine="288"/>
              <w:jc w:val="left"/>
              <w:rPr/>
            </w:pPr>
            <w:r>
              <w:rPr/>
              <w:t> </w:t>
            </w:r>
          </w:p>
        </w:tc>
      </w:tr>
      <w:tr>
        <w:trPr/>
        <w:tc>
          <w:tcPr>
            <w:tcW w:w="9278"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Condensed Combined and consolidated Balance Sheets</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1</w:t>
            </w:r>
          </w:p>
        </w:tc>
      </w:tr>
      <w:tr>
        <w:trPr/>
        <w:tc>
          <w:tcPr>
            <w:tcW w:w="9278"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Condensed Combined and consolidated Statements of Operations</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2</w:t>
            </w:r>
          </w:p>
        </w:tc>
      </w:tr>
      <w:tr>
        <w:trPr/>
        <w:tc>
          <w:tcPr>
            <w:tcW w:w="9278"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Condensed Combined and consolidated Statements of Comprehensive Income</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3</w:t>
            </w:r>
          </w:p>
        </w:tc>
      </w:tr>
      <w:tr>
        <w:trPr/>
        <w:tc>
          <w:tcPr>
            <w:tcW w:w="9278"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Condensed Combined and consolidated Statements of Stockholders’ Equity</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4</w:t>
            </w:r>
          </w:p>
        </w:tc>
      </w:tr>
      <w:tr>
        <w:trPr/>
        <w:tc>
          <w:tcPr>
            <w:tcW w:w="9278"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Condensed Combined and consolidated Statements of Cash Flows</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5</w:t>
            </w:r>
          </w:p>
        </w:tc>
      </w:tr>
      <w:tr>
        <w:trPr/>
        <w:tc>
          <w:tcPr>
            <w:tcW w:w="9278" w:type="dxa"/>
            <w:tcBorders/>
            <w:tcMar>
              <w:top w:w="0" w:type="dxa"/>
              <w:left w:w="0" w:type="dxa"/>
              <w:bottom w:w="0" w:type="dxa"/>
              <w:right w:w="0" w:type="dxa"/>
            </w:tcMar>
            <w:vAlign w:val="center"/>
          </w:tcPr>
          <w:p>
            <w:pPr>
              <w:pStyle w:val="TableContents"/>
              <w:bidi w:val="0"/>
              <w:spacing w:before="0" w:after="200"/>
              <w:ind w:left="0" w:right="0" w:firstLine="288"/>
              <w:jc w:val="left"/>
              <w:rPr>
                <w:rFonts w:ascii="sans-serif" w:hAnsi="sans-serif"/>
                <w:color w:val="000000"/>
                <w:sz w:val="22"/>
              </w:rPr>
            </w:pPr>
            <w:r>
              <w:rPr>
                <w:rFonts w:ascii="sans-serif" w:hAnsi="sans-serif"/>
                <w:color w:val="000000"/>
                <w:sz w:val="22"/>
              </w:rPr>
              <w:t>Notes to Condensed Combined and consolidated Financial Statements</w:t>
            </w:r>
          </w:p>
        </w:tc>
        <w:tc>
          <w:tcPr>
            <w:tcW w:w="146" w:type="dxa"/>
            <w:tcBorders/>
            <w:tcMar>
              <w:top w:w="0" w:type="dxa"/>
              <w:left w:w="0" w:type="dxa"/>
              <w:bottom w:w="0" w:type="dxa"/>
              <w:right w:w="0" w:type="dxa"/>
            </w:tcMar>
            <w:vAlign w:val="center"/>
          </w:tcPr>
          <w:p>
            <w:pPr>
              <w:pStyle w:val="TableContents"/>
              <w:bidi w:val="0"/>
              <w:spacing w:before="0" w:after="200"/>
              <w:jc w:val="right"/>
              <w:rPr/>
            </w:pPr>
            <w:r>
              <w:rPr/>
              <w:t> </w:t>
            </w:r>
          </w:p>
        </w:tc>
        <w:tc>
          <w:tcPr>
            <w:tcW w:w="781" w:type="dxa"/>
            <w:tcBorders/>
            <w:tcMar>
              <w:top w:w="0" w:type="dxa"/>
              <w:left w:w="0" w:type="dxa"/>
              <w:bottom w:w="0" w:type="dxa"/>
              <w:right w:w="0" w:type="dxa"/>
            </w:tcMar>
            <w:vAlign w:val="center"/>
          </w:tcPr>
          <w:p>
            <w:pPr>
              <w:pStyle w:val="TableContents"/>
              <w:bidi w:val="0"/>
              <w:spacing w:before="0" w:after="200"/>
              <w:jc w:val="left"/>
              <w:rPr>
                <w:rFonts w:ascii="sans-serif" w:hAnsi="sans-serif"/>
                <w:color w:val="000000"/>
                <w:sz w:val="22"/>
              </w:rPr>
            </w:pPr>
            <w:r>
              <w:rPr>
                <w:rFonts w:ascii="sans-serif" w:hAnsi="sans-serif"/>
                <w:color w:val="000000"/>
                <w:sz w:val="22"/>
              </w:rPr>
              <w:t>6-16</w:t>
            </w:r>
          </w:p>
        </w:tc>
      </w:tr>
    </w:tbl>
    <w:p>
      <w:pPr>
        <w:pStyle w:val="TextBody"/>
        <w:bidi w:val="0"/>
        <w:spacing w:before="269"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2"/>
        <w:gridCol w:w="1628"/>
        <w:gridCol w:w="219"/>
        <w:gridCol w:w="2006"/>
      </w:tblGrid>
      <w:tr>
        <w:trPr/>
        <w:tc>
          <w:tcPr>
            <w:tcW w:w="635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3"/>
              </w:rPr>
            </w:pPr>
            <w:r>
              <w:rPr>
                <w:rFonts w:ascii="sans-serif" w:hAnsi="sans-serif"/>
                <w:b/>
                <w:color w:val="000000"/>
                <w:sz w:val="23"/>
              </w:rPr>
              <w:t>KUBRA HOLDINGS, INC. AND SUBSIDIARIES, AND KUBRA DATA TRANSFER LTD.</w:t>
            </w:r>
          </w:p>
        </w:tc>
      </w:tr>
      <w:tr>
        <w:trPr/>
        <w:tc>
          <w:tcPr>
            <w:tcW w:w="6352" w:type="dxa"/>
            <w:tcBorders>
              <w:bottom w:val="single" w:sz="4" w:space="0" w:color="000000"/>
            </w:tcBorders>
            <w:tcMar>
              <w:top w:w="0" w:type="dxa"/>
              <w:left w:w="0" w:type="dxa"/>
              <w:right w:w="0" w:type="dxa"/>
            </w:tcMar>
            <w:vAlign w:val="center"/>
          </w:tcPr>
          <w:p>
            <w:pPr>
              <w:pStyle w:val="TableContents"/>
              <w:bidi w:val="0"/>
              <w:spacing w:before="3" w:after="283"/>
              <w:jc w:val="left"/>
              <w:rPr>
                <w:rFonts w:ascii="sans-serif" w:hAnsi="sans-serif"/>
                <w:b/>
                <w:color w:val="000000"/>
                <w:sz w:val="23"/>
              </w:rPr>
            </w:pPr>
            <w:r>
              <w:rPr>
                <w:rFonts w:ascii="sans-serif" w:hAnsi="sans-serif"/>
                <w:b/>
                <w:color w:val="000000"/>
                <w:sz w:val="23"/>
              </w:rPr>
              <w:t>CONDENSED COMBINED AND CONSOLIDATED BALANCE SHEETS</w:t>
            </w:r>
          </w:p>
        </w:tc>
        <w:tc>
          <w:tcPr>
            <w:tcW w:w="16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73"/>
              <w:jc w:val="left"/>
              <w:rPr/>
            </w:pPr>
            <w:r>
              <w:rPr/>
              <w:t> </w:t>
            </w:r>
          </w:p>
        </w:tc>
        <w:tc>
          <w:tcPr>
            <w:tcW w:w="1628" w:type="dxa"/>
            <w:tcBorders/>
            <w:tcMar>
              <w:top w:w="0" w:type="dxa"/>
              <w:left w:w="0" w:type="dxa"/>
              <w:bottom w:w="0" w:type="dxa"/>
              <w:right w:w="0" w:type="dxa"/>
            </w:tcMar>
            <w:vAlign w:val="center"/>
          </w:tcPr>
          <w:p>
            <w:pPr>
              <w:pStyle w:val="TableContents"/>
              <w:bidi w:val="0"/>
              <w:ind w:left="0" w:right="0" w:firstLine="73"/>
              <w:jc w:val="center"/>
              <w:rPr>
                <w:rFonts w:ascii="sans-serif" w:hAnsi="sans-serif"/>
                <w:b/>
                <w:color w:val="000000"/>
                <w:sz w:val="18"/>
              </w:rPr>
            </w:pPr>
            <w:r>
              <w:rPr>
                <w:rFonts w:ascii="sans-serif" w:hAnsi="sans-serif"/>
                <w:b/>
                <w:color w:val="000000"/>
                <w:sz w:val="18"/>
              </w:rPr>
              <w:t>March 31, 2026</w:t>
            </w:r>
          </w:p>
          <w:p>
            <w:pPr>
              <w:pStyle w:val="TableContents"/>
              <w:bidi w:val="0"/>
              <w:spacing w:before="0" w:after="283"/>
              <w:ind w:left="0" w:right="0" w:firstLine="73"/>
              <w:jc w:val="center"/>
              <w:rPr>
                <w:rFonts w:ascii="sans-serif" w:hAnsi="sans-serif"/>
                <w:b/>
                <w:color w:val="000000"/>
                <w:sz w:val="18"/>
              </w:rPr>
            </w:pPr>
            <w:r>
              <w:rPr>
                <w:rFonts w:ascii="sans-serif" w:hAnsi="sans-serif"/>
                <w:b/>
                <w:color w:val="000000"/>
                <w:sz w:val="18"/>
              </w:rPr>
              <w:t>(Unaudited)</w:t>
            </w:r>
          </w:p>
        </w:tc>
        <w:tc>
          <w:tcPr>
            <w:tcW w:w="219" w:type="dxa"/>
            <w:tcBorders/>
            <w:tcMar>
              <w:top w:w="0" w:type="dxa"/>
              <w:left w:w="0" w:type="dxa"/>
              <w:bottom w:w="0" w:type="dxa"/>
              <w:right w:w="0" w:type="dxa"/>
            </w:tcMar>
            <w:vAlign w:val="center"/>
          </w:tcPr>
          <w:p>
            <w:pPr>
              <w:pStyle w:val="TableContents"/>
              <w:bidi w:val="0"/>
              <w:spacing w:before="0" w:after="283"/>
              <w:ind w:left="0" w:right="0" w:firstLine="73"/>
              <w:jc w:val="center"/>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73"/>
              <w:jc w:val="center"/>
              <w:rPr>
                <w:rFonts w:ascii="sans-serif" w:hAnsi="sans-serif"/>
                <w:b/>
                <w:color w:val="000000"/>
                <w:sz w:val="18"/>
              </w:rPr>
            </w:pPr>
            <w:r>
              <w:rPr>
                <w:rFonts w:ascii="sans-serif" w:hAnsi="sans-serif"/>
                <w:b/>
                <w:color w:val="000000"/>
                <w:sz w:val="18"/>
              </w:rPr>
              <w:t>December 31, 2025</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b/>
                <w:color w:val="000000"/>
                <w:sz w:val="18"/>
              </w:rPr>
            </w:pPr>
            <w:r>
              <w:rPr>
                <w:rFonts w:ascii="sans-serif" w:hAnsi="sans-serif"/>
                <w:b/>
                <w:color w:val="000000"/>
                <w:sz w:val="18"/>
              </w:rPr>
              <w:t>ASSETS</w:t>
            </w:r>
          </w:p>
        </w:tc>
        <w:tc>
          <w:tcPr>
            <w:tcW w:w="1628"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73"/>
              <w:jc w:val="left"/>
              <w:rPr/>
            </w:pPr>
            <w:r>
              <w:rPr/>
              <w:t> </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color w:val="000000"/>
                <w:sz w:val="18"/>
              </w:rPr>
            </w:pPr>
            <w:r>
              <w:rPr>
                <w:rFonts w:ascii="sans-serif" w:hAnsi="sans-serif"/>
                <w:color w:val="000000"/>
                <w:sz w:val="18"/>
              </w:rPr>
              <w:t>CURRENT ASSETS:</w:t>
            </w:r>
          </w:p>
        </w:tc>
        <w:tc>
          <w:tcPr>
            <w:tcW w:w="1628"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left"/>
              <w:rPr/>
            </w:pPr>
            <w:r>
              <w:rPr/>
              <w:t> </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Cash and cash equivalents</w:t>
            </w:r>
          </w:p>
        </w:tc>
        <w:tc>
          <w:tcPr>
            <w:tcW w:w="1628" w:type="dxa"/>
            <w:tcBorders/>
            <w:tcMar>
              <w:top w:w="0" w:type="dxa"/>
              <w:left w:w="0" w:type="dxa"/>
              <w:bottom w:w="0" w:type="dxa"/>
              <w:right w:w="0" w:type="dxa"/>
            </w:tcMar>
            <w:vAlign w:val="center"/>
          </w:tcPr>
          <w:p>
            <w:pPr>
              <w:pStyle w:val="TableContents"/>
              <w:bidi w:val="0"/>
              <w:spacing w:before="1" w:after="283"/>
              <w:jc w:val="right"/>
              <w:rPr>
                <w:rFonts w:ascii="sans-serif" w:hAnsi="sans-serif"/>
                <w:color w:val="000000"/>
                <w:sz w:val="18"/>
              </w:rPr>
            </w:pPr>
            <w:r>
              <w:rPr>
                <w:rFonts w:ascii="sans-serif" w:hAnsi="sans-serif"/>
                <w:color w:val="000000"/>
                <w:sz w:val="18"/>
              </w:rPr>
              <w:t>$ 6,311,532</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1" w:after="283"/>
              <w:ind w:left="0" w:right="0" w:firstLine="133"/>
              <w:jc w:val="right"/>
              <w:rPr>
                <w:rFonts w:ascii="sans-serif" w:hAnsi="sans-serif"/>
                <w:color w:val="000000"/>
                <w:sz w:val="18"/>
              </w:rPr>
            </w:pPr>
            <w:r>
              <w:rPr>
                <w:rFonts w:ascii="sans-serif" w:hAnsi="sans-serif"/>
                <w:color w:val="000000"/>
                <w:sz w:val="18"/>
              </w:rPr>
              <w:t>$ 7,687,799</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Accounts receivable, net</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34,835,086</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30,868,253</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Prepaid expenses</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5,596,287</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4,332,191</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Inventories</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2,440,986</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2,585,192</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Income tax receivable</w:t>
            </w:r>
          </w:p>
        </w:tc>
        <w:tc>
          <w:tcPr>
            <w:tcW w:w="16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1,148,060</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tcMar>
              <w:top w:w="0" w:type="dxa"/>
              <w:left w:w="0" w:type="dxa"/>
              <w:right w:w="0" w:type="dxa"/>
            </w:tcMar>
            <w:vAlign w:val="center"/>
          </w:tcPr>
          <w:p>
            <w:pPr>
              <w:pStyle w:val="TableContents"/>
              <w:bidi w:val="0"/>
              <w:spacing w:before="0" w:after="283"/>
              <w:ind w:left="0" w:right="0" w:firstLine="402"/>
              <w:jc w:val="right"/>
              <w:rPr>
                <w:rFonts w:ascii="sans-serif" w:hAnsi="sans-serif"/>
                <w:color w:val="000000"/>
                <w:sz w:val="18"/>
              </w:rPr>
            </w:pPr>
            <w:r>
              <w:rPr>
                <w:rFonts w:ascii="sans-serif" w:hAnsi="sans-serif"/>
                <w:color w:val="000000"/>
                <w:sz w:val="18"/>
              </w:rPr>
              <w:t>1,388,327</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402"/>
              <w:jc w:val="left"/>
              <w:rPr>
                <w:rFonts w:ascii="sans-serif" w:hAnsi="sans-serif"/>
                <w:color w:val="000000"/>
                <w:sz w:val="18"/>
              </w:rPr>
            </w:pPr>
            <w:r>
              <w:rPr>
                <w:rFonts w:ascii="sans-serif" w:hAnsi="sans-serif"/>
                <w:color w:val="000000"/>
                <w:sz w:val="18"/>
              </w:rPr>
              <w:t>Total current assets</w:t>
            </w:r>
          </w:p>
        </w:tc>
        <w:tc>
          <w:tcPr>
            <w:tcW w:w="16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50,331,952</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tcMar>
              <w:top w:w="0" w:type="dxa"/>
              <w:left w:w="0" w:type="dxa"/>
              <w:right w:w="0" w:type="dxa"/>
            </w:tcMar>
            <w:vAlign w:val="center"/>
          </w:tcPr>
          <w:p>
            <w:pPr>
              <w:pStyle w:val="TableContents"/>
              <w:bidi w:val="0"/>
              <w:spacing w:before="0" w:after="283"/>
              <w:ind w:left="0" w:right="0" w:firstLine="73"/>
              <w:jc w:val="right"/>
              <w:rPr>
                <w:rFonts w:ascii="sans-serif" w:hAnsi="sans-serif"/>
                <w:color w:val="000000"/>
                <w:sz w:val="18"/>
              </w:rPr>
            </w:pPr>
            <w:r>
              <w:rPr>
                <w:rFonts w:ascii="sans-serif" w:hAnsi="sans-serif"/>
                <w:color w:val="000000"/>
                <w:sz w:val="18"/>
              </w:rPr>
              <w:t>46,861,762</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color w:val="000000"/>
                <w:sz w:val="18"/>
              </w:rPr>
            </w:pPr>
            <w:r>
              <w:rPr>
                <w:rFonts w:ascii="sans-serif" w:hAnsi="sans-serif"/>
                <w:color w:val="000000"/>
                <w:sz w:val="18"/>
              </w:rPr>
              <w:t>NON-CURRENT ASSETS:</w:t>
            </w:r>
          </w:p>
        </w:tc>
        <w:tc>
          <w:tcPr>
            <w:tcW w:w="1628"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left"/>
              <w:rPr/>
            </w:pPr>
            <w:r>
              <w:rPr/>
              <w:t> </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Security Investment</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18,750</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18,750</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Property and equipment, net</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4,683,361</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5,209,295</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Capitalized software development costs, net</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33,079,918</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29,864,432</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Right of use assets—operating leases</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6,019,012</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1"/>
              <w:jc w:val="right"/>
              <w:rPr>
                <w:rFonts w:ascii="sans-serif" w:hAnsi="sans-serif"/>
                <w:color w:val="000000"/>
                <w:sz w:val="18"/>
              </w:rPr>
            </w:pPr>
            <w:r>
              <w:rPr>
                <w:rFonts w:ascii="sans-serif" w:hAnsi="sans-serif"/>
                <w:color w:val="000000"/>
                <w:sz w:val="18"/>
              </w:rPr>
              <w:t>6,853,751</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1"/>
              <w:jc w:val="left"/>
              <w:rPr>
                <w:rFonts w:ascii="sans-serif" w:hAnsi="sans-serif"/>
                <w:color w:val="000000"/>
                <w:sz w:val="18"/>
              </w:rPr>
            </w:pPr>
            <w:r>
              <w:rPr>
                <w:rFonts w:ascii="sans-serif" w:hAnsi="sans-serif"/>
                <w:color w:val="000000"/>
                <w:sz w:val="18"/>
              </w:rPr>
              <w:t>Intangible assets—net</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108,813,457</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112,369,226</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Goodwill</w:t>
            </w:r>
          </w:p>
        </w:tc>
        <w:tc>
          <w:tcPr>
            <w:tcW w:w="16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162,458,145</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tcMar>
              <w:top w:w="0" w:type="dxa"/>
              <w:left w:w="0" w:type="dxa"/>
              <w:right w:w="0" w:type="dxa"/>
            </w:tcMar>
            <w:vAlign w:val="center"/>
          </w:tcPr>
          <w:p>
            <w:pPr>
              <w:pStyle w:val="TableContents"/>
              <w:bidi w:val="0"/>
              <w:spacing w:before="0" w:after="283"/>
              <w:ind w:left="0" w:right="0" w:firstLine="402"/>
              <w:jc w:val="right"/>
              <w:rPr>
                <w:rFonts w:ascii="sans-serif" w:hAnsi="sans-serif"/>
                <w:color w:val="000000"/>
                <w:sz w:val="18"/>
              </w:rPr>
            </w:pPr>
            <w:r>
              <w:rPr>
                <w:rFonts w:ascii="sans-serif" w:hAnsi="sans-serif"/>
                <w:color w:val="000000"/>
                <w:sz w:val="18"/>
              </w:rPr>
              <w:t>162,458,145</w:t>
            </w:r>
          </w:p>
        </w:tc>
      </w:tr>
      <w:tr>
        <w:trPr/>
        <w:tc>
          <w:tcPr>
            <w:tcW w:w="6352" w:type="dxa"/>
            <w:tcBorders/>
            <w:tcMar>
              <w:top w:w="0" w:type="dxa"/>
              <w:left w:w="0" w:type="dxa"/>
              <w:bottom w:w="0" w:type="dxa"/>
              <w:right w:w="0" w:type="dxa"/>
            </w:tcMar>
            <w:vAlign w:val="center"/>
          </w:tcPr>
          <w:p>
            <w:pPr>
              <w:pStyle w:val="TableContents"/>
              <w:bidi w:val="0"/>
              <w:spacing w:before="6" w:after="283"/>
              <w:ind w:left="0" w:right="0" w:firstLine="402"/>
              <w:jc w:val="left"/>
              <w:rPr>
                <w:rFonts w:ascii="sans-serif" w:hAnsi="sans-serif"/>
                <w:color w:val="000000"/>
                <w:sz w:val="18"/>
              </w:rPr>
            </w:pPr>
            <w:r>
              <w:rPr>
                <w:rFonts w:ascii="sans-serif" w:hAnsi="sans-serif"/>
                <w:color w:val="000000"/>
                <w:sz w:val="18"/>
              </w:rPr>
              <w:t>Total non-current assets</w:t>
            </w:r>
          </w:p>
        </w:tc>
        <w:tc>
          <w:tcPr>
            <w:tcW w:w="1628" w:type="dxa"/>
            <w:tcBorders>
              <w:bottom w:val="single" w:sz="4" w:space="0" w:color="000000"/>
            </w:tcBorders>
            <w:tcMar>
              <w:top w:w="0" w:type="dxa"/>
              <w:left w:w="0" w:type="dxa"/>
              <w:right w:w="0" w:type="dxa"/>
            </w:tcMar>
            <w:vAlign w:val="center"/>
          </w:tcPr>
          <w:p>
            <w:pPr>
              <w:pStyle w:val="TableContents"/>
              <w:bidi w:val="0"/>
              <w:spacing w:before="6" w:after="283"/>
              <w:jc w:val="right"/>
              <w:rPr>
                <w:rFonts w:ascii="sans-serif" w:hAnsi="sans-serif"/>
                <w:color w:val="000000"/>
                <w:sz w:val="18"/>
              </w:rPr>
            </w:pPr>
            <w:r>
              <w:rPr>
                <w:rFonts w:ascii="sans-serif" w:hAnsi="sans-serif"/>
                <w:color w:val="000000"/>
                <w:sz w:val="18"/>
              </w:rPr>
              <w:t>315,072,641</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tcMar>
              <w:top w:w="0" w:type="dxa"/>
              <w:left w:w="0" w:type="dxa"/>
              <w:right w:w="0" w:type="dxa"/>
            </w:tcMar>
            <w:vAlign w:val="center"/>
          </w:tcPr>
          <w:p>
            <w:pPr>
              <w:pStyle w:val="TableContents"/>
              <w:bidi w:val="0"/>
              <w:spacing w:before="6" w:after="283"/>
              <w:ind w:left="0" w:right="0" w:firstLine="73"/>
              <w:jc w:val="right"/>
              <w:rPr>
                <w:rFonts w:ascii="sans-serif" w:hAnsi="sans-serif"/>
                <w:color w:val="000000"/>
                <w:sz w:val="18"/>
              </w:rPr>
            </w:pPr>
            <w:r>
              <w:rPr>
                <w:rFonts w:ascii="sans-serif" w:hAnsi="sans-serif"/>
                <w:color w:val="000000"/>
                <w:sz w:val="18"/>
              </w:rPr>
              <w:t>316,773,599</w:t>
            </w:r>
          </w:p>
        </w:tc>
      </w:tr>
      <w:tr>
        <w:trPr/>
        <w:tc>
          <w:tcPr>
            <w:tcW w:w="6352" w:type="dxa"/>
            <w:tcBorders/>
            <w:tcMar>
              <w:top w:w="0" w:type="dxa"/>
              <w:left w:w="0" w:type="dxa"/>
              <w:bottom w:w="0" w:type="dxa"/>
              <w:right w:w="0" w:type="dxa"/>
            </w:tcMar>
            <w:vAlign w:val="center"/>
          </w:tcPr>
          <w:p>
            <w:pPr>
              <w:pStyle w:val="TableContents"/>
              <w:bidi w:val="0"/>
              <w:spacing w:before="35" w:after="283"/>
              <w:ind w:left="0" w:right="0" w:firstLine="73"/>
              <w:jc w:val="left"/>
              <w:rPr>
                <w:rFonts w:ascii="sans-serif" w:hAnsi="sans-serif"/>
                <w:color w:val="000000"/>
                <w:sz w:val="18"/>
              </w:rPr>
            </w:pPr>
            <w:r>
              <w:rPr>
                <w:rFonts w:ascii="sans-serif" w:hAnsi="sans-serif"/>
                <w:color w:val="000000"/>
                <w:sz w:val="18"/>
              </w:rPr>
              <w:t>TOTAL ASSETS</w:t>
            </w:r>
          </w:p>
        </w:tc>
        <w:tc>
          <w:tcPr>
            <w:tcW w:w="1628" w:type="dxa"/>
            <w:tcBorders>
              <w:bottom w:val="double" w:sz="4" w:space="0" w:color="000000"/>
            </w:tcBorders>
            <w:tcMar>
              <w:top w:w="0" w:type="dxa"/>
              <w:left w:w="0" w:type="dxa"/>
              <w:right w:w="0" w:type="dxa"/>
            </w:tcMar>
            <w:vAlign w:val="center"/>
          </w:tcPr>
          <w:p>
            <w:pPr>
              <w:pStyle w:val="TableContents"/>
              <w:bidi w:val="0"/>
              <w:spacing w:before="18" w:after="283"/>
              <w:jc w:val="right"/>
              <w:rPr>
                <w:rFonts w:ascii="sans-serif" w:hAnsi="sans-serif"/>
                <w:color w:val="000000"/>
                <w:sz w:val="18"/>
              </w:rPr>
            </w:pPr>
            <w:r>
              <w:rPr>
                <w:rFonts w:ascii="sans-serif" w:hAnsi="sans-serif"/>
                <w:color w:val="000000"/>
                <w:sz w:val="18"/>
              </w:rPr>
              <w:t>$365,404,593</w:t>
            </w:r>
          </w:p>
        </w:tc>
        <w:tc>
          <w:tcPr>
            <w:tcW w:w="219"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double" w:sz="4" w:space="0" w:color="000000"/>
            </w:tcBorders>
            <w:tcMar>
              <w:top w:w="0" w:type="dxa"/>
              <w:left w:w="0" w:type="dxa"/>
              <w:right w:w="0" w:type="dxa"/>
            </w:tcMar>
            <w:vAlign w:val="center"/>
          </w:tcPr>
          <w:p>
            <w:pPr>
              <w:pStyle w:val="TableContents"/>
              <w:bidi w:val="0"/>
              <w:spacing w:before="18" w:after="283"/>
              <w:ind w:left="0" w:right="0" w:firstLine="73"/>
              <w:jc w:val="right"/>
              <w:rPr>
                <w:rFonts w:ascii="sans-serif" w:hAnsi="sans-serif"/>
                <w:color w:val="000000"/>
                <w:sz w:val="18"/>
              </w:rPr>
            </w:pPr>
            <w:r>
              <w:rPr>
                <w:rFonts w:ascii="sans-serif" w:hAnsi="sans-serif"/>
                <w:color w:val="000000"/>
                <w:sz w:val="18"/>
              </w:rPr>
              <w:t>$363,635,361</w:t>
            </w:r>
          </w:p>
        </w:tc>
      </w:tr>
      <w:tr>
        <w:trPr/>
        <w:tc>
          <w:tcPr>
            <w:tcW w:w="6352" w:type="dxa"/>
            <w:tcBorders/>
            <w:tcMar>
              <w:top w:w="0" w:type="dxa"/>
              <w:left w:w="0" w:type="dxa"/>
              <w:bottom w:w="0" w:type="dxa"/>
              <w:right w:w="0" w:type="dxa"/>
            </w:tcMar>
            <w:vAlign w:val="center"/>
          </w:tcPr>
          <w:p>
            <w:pPr>
              <w:pStyle w:val="TableContents"/>
              <w:bidi w:val="0"/>
              <w:spacing w:before="3" w:after="283"/>
              <w:ind w:left="0" w:right="0" w:firstLine="73"/>
              <w:jc w:val="left"/>
              <w:rPr>
                <w:rFonts w:ascii="sans-serif" w:hAnsi="sans-serif"/>
                <w:b/>
                <w:color w:val="000000"/>
                <w:sz w:val="18"/>
              </w:rPr>
            </w:pPr>
            <w:r>
              <w:rPr>
                <w:rFonts w:ascii="sans-serif" w:hAnsi="sans-serif"/>
                <w:b/>
                <w:color w:val="000000"/>
                <w:sz w:val="18"/>
              </w:rPr>
              <w:t>LIABILITIES AND STOCKHOLDERS’ EQUITY</w:t>
            </w:r>
          </w:p>
        </w:tc>
        <w:tc>
          <w:tcPr>
            <w:tcW w:w="1628"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73"/>
              <w:jc w:val="left"/>
              <w:rPr/>
            </w:pPr>
            <w:r>
              <w:rPr/>
              <w:t> </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color w:val="000000"/>
                <w:sz w:val="18"/>
              </w:rPr>
            </w:pPr>
            <w:r>
              <w:rPr>
                <w:rFonts w:ascii="sans-serif" w:hAnsi="sans-serif"/>
                <w:color w:val="000000"/>
                <w:sz w:val="18"/>
              </w:rPr>
              <w:t>CURRENT LIABILITIES:</w:t>
            </w:r>
          </w:p>
        </w:tc>
        <w:tc>
          <w:tcPr>
            <w:tcW w:w="1628"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left"/>
              <w:rPr/>
            </w:pPr>
            <w:r>
              <w:rPr/>
              <w:t> </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Accounts payable and accrued expenses</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$ 17,509,697</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$ 21,790,493</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Intercompany note payable</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12,540,361</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12,415,789</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Due to related party</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5,031,823</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5,395,378</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Customer deposits</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16,557,895</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16,408,141</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Deferred revenue</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13,145,656</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7,393,105</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Lease liability—operating lease (current)</w:t>
            </w:r>
          </w:p>
        </w:tc>
        <w:tc>
          <w:tcPr>
            <w:tcW w:w="16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2,990,274</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tcMar>
              <w:top w:w="0" w:type="dxa"/>
              <w:left w:w="0" w:type="dxa"/>
              <w:right w:w="0" w:type="dxa"/>
            </w:tcMar>
            <w:vAlign w:val="center"/>
          </w:tcPr>
          <w:p>
            <w:pPr>
              <w:pStyle w:val="TableContents"/>
              <w:bidi w:val="0"/>
              <w:spacing w:before="0" w:after="283"/>
              <w:ind w:left="0" w:right="0" w:firstLine="402"/>
              <w:jc w:val="right"/>
              <w:rPr>
                <w:rFonts w:ascii="sans-serif" w:hAnsi="sans-serif"/>
                <w:color w:val="000000"/>
                <w:sz w:val="18"/>
              </w:rPr>
            </w:pPr>
            <w:r>
              <w:rPr>
                <w:rFonts w:ascii="sans-serif" w:hAnsi="sans-serif"/>
                <w:color w:val="000000"/>
                <w:sz w:val="18"/>
              </w:rPr>
              <w:t>3,259,248</w:t>
            </w:r>
          </w:p>
        </w:tc>
      </w:tr>
      <w:tr>
        <w:trPr/>
        <w:tc>
          <w:tcPr>
            <w:tcW w:w="6352" w:type="dxa"/>
            <w:tcBorders/>
            <w:tcMar>
              <w:top w:w="0" w:type="dxa"/>
              <w:left w:w="0" w:type="dxa"/>
              <w:bottom w:w="0" w:type="dxa"/>
              <w:right w:w="0" w:type="dxa"/>
            </w:tcMar>
            <w:vAlign w:val="center"/>
          </w:tcPr>
          <w:p>
            <w:pPr>
              <w:pStyle w:val="TableContents"/>
              <w:bidi w:val="0"/>
              <w:spacing w:before="13" w:after="283"/>
              <w:ind w:left="0" w:right="0" w:firstLine="402"/>
              <w:jc w:val="left"/>
              <w:rPr>
                <w:rFonts w:ascii="sans-serif" w:hAnsi="sans-serif"/>
                <w:color w:val="000000"/>
                <w:sz w:val="18"/>
              </w:rPr>
            </w:pPr>
            <w:r>
              <w:rPr>
                <w:rFonts w:ascii="sans-serif" w:hAnsi="sans-serif"/>
                <w:color w:val="000000"/>
                <w:sz w:val="18"/>
              </w:rPr>
              <w:t>Total current liabilities</w:t>
            </w:r>
          </w:p>
        </w:tc>
        <w:tc>
          <w:tcPr>
            <w:tcW w:w="1628" w:type="dxa"/>
            <w:tcBorders>
              <w:bottom w:val="single" w:sz="4" w:space="0" w:color="000000"/>
            </w:tcBorders>
            <w:tcMar>
              <w:top w:w="0" w:type="dxa"/>
              <w:left w:w="0" w:type="dxa"/>
              <w:right w:w="0" w:type="dxa"/>
            </w:tcMar>
            <w:vAlign w:val="center"/>
          </w:tcPr>
          <w:p>
            <w:pPr>
              <w:pStyle w:val="TableContents"/>
              <w:bidi w:val="0"/>
              <w:spacing w:before="6" w:after="283"/>
              <w:jc w:val="right"/>
              <w:rPr>
                <w:rFonts w:ascii="sans-serif" w:hAnsi="sans-serif"/>
                <w:color w:val="000000"/>
                <w:sz w:val="18"/>
              </w:rPr>
            </w:pPr>
            <w:r>
              <w:rPr>
                <w:rFonts w:ascii="sans-serif" w:hAnsi="sans-serif"/>
                <w:color w:val="000000"/>
                <w:sz w:val="18"/>
              </w:rPr>
              <w:t>67,775,707</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tcMar>
              <w:top w:w="0" w:type="dxa"/>
              <w:left w:w="0" w:type="dxa"/>
              <w:right w:w="0" w:type="dxa"/>
            </w:tcMar>
            <w:vAlign w:val="center"/>
          </w:tcPr>
          <w:p>
            <w:pPr>
              <w:pStyle w:val="TableContents"/>
              <w:bidi w:val="0"/>
              <w:spacing w:before="6" w:after="283"/>
              <w:ind w:left="0" w:right="0" w:firstLine="73"/>
              <w:jc w:val="right"/>
              <w:rPr>
                <w:rFonts w:ascii="sans-serif" w:hAnsi="sans-serif"/>
                <w:color w:val="000000"/>
                <w:sz w:val="18"/>
              </w:rPr>
            </w:pPr>
            <w:r>
              <w:rPr>
                <w:rFonts w:ascii="sans-serif" w:hAnsi="sans-serif"/>
                <w:color w:val="000000"/>
                <w:sz w:val="18"/>
              </w:rPr>
              <w:t>66,662,154</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color w:val="000000"/>
                <w:sz w:val="18"/>
              </w:rPr>
            </w:pPr>
            <w:r>
              <w:rPr>
                <w:rFonts w:ascii="sans-serif" w:hAnsi="sans-serif"/>
                <w:color w:val="000000"/>
                <w:sz w:val="18"/>
              </w:rPr>
              <w:t>NON-CURRENT LIABILITIES:</w:t>
            </w:r>
          </w:p>
        </w:tc>
        <w:tc>
          <w:tcPr>
            <w:tcW w:w="1628"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left"/>
              <w:rPr/>
            </w:pPr>
            <w:r>
              <w:rPr/>
              <w:t> </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Lease liability—operating lease (noncurrent)</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3,331,717</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3,912,596</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Lease liability—finance lease (noncurrent)</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1,144,003</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1"/>
              <w:jc w:val="right"/>
              <w:rPr>
                <w:rFonts w:ascii="sans-serif" w:hAnsi="sans-serif"/>
                <w:color w:val="000000"/>
                <w:sz w:val="18"/>
              </w:rPr>
            </w:pPr>
            <w:r>
              <w:rPr>
                <w:rFonts w:ascii="sans-serif" w:hAnsi="sans-serif"/>
                <w:color w:val="000000"/>
                <w:sz w:val="18"/>
              </w:rPr>
              <w:t>1,255,412</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1"/>
              <w:jc w:val="left"/>
              <w:rPr>
                <w:rFonts w:ascii="sans-serif" w:hAnsi="sans-serif"/>
                <w:color w:val="000000"/>
                <w:sz w:val="18"/>
              </w:rPr>
            </w:pPr>
            <w:r>
              <w:rPr>
                <w:rFonts w:ascii="sans-serif" w:hAnsi="sans-serif"/>
                <w:color w:val="000000"/>
                <w:sz w:val="18"/>
              </w:rPr>
              <w:t>Deferred revenue</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1,661,494</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1,238,635</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Deferred tax liability</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32,097,552</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402"/>
              <w:jc w:val="right"/>
              <w:rPr>
                <w:rFonts w:ascii="sans-serif" w:hAnsi="sans-serif"/>
                <w:color w:val="000000"/>
                <w:sz w:val="18"/>
              </w:rPr>
            </w:pPr>
            <w:r>
              <w:rPr>
                <w:rFonts w:ascii="sans-serif" w:hAnsi="sans-serif"/>
                <w:color w:val="000000"/>
                <w:sz w:val="18"/>
              </w:rPr>
              <w:t>32,918,499</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402"/>
              <w:jc w:val="left"/>
              <w:rPr>
                <w:rFonts w:ascii="sans-serif" w:hAnsi="sans-serif"/>
                <w:color w:val="000000"/>
                <w:sz w:val="18"/>
              </w:rPr>
            </w:pPr>
            <w:r>
              <w:rPr>
                <w:rFonts w:ascii="sans-serif" w:hAnsi="sans-serif"/>
                <w:color w:val="000000"/>
                <w:sz w:val="18"/>
              </w:rPr>
              <w:t>Total non-current liabilities</w:t>
            </w:r>
          </w:p>
        </w:tc>
        <w:tc>
          <w:tcPr>
            <w:tcW w:w="16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38,234,766</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tcMar>
              <w:top w:w="0" w:type="dxa"/>
              <w:left w:w="0" w:type="dxa"/>
              <w:right w:w="0" w:type="dxa"/>
            </w:tcMar>
            <w:vAlign w:val="center"/>
          </w:tcPr>
          <w:p>
            <w:pPr>
              <w:pStyle w:val="TableContents"/>
              <w:bidi w:val="0"/>
              <w:spacing w:before="0" w:after="283"/>
              <w:ind w:left="0" w:right="0" w:firstLine="402"/>
              <w:jc w:val="right"/>
              <w:rPr>
                <w:rFonts w:ascii="sans-serif" w:hAnsi="sans-serif"/>
                <w:color w:val="000000"/>
                <w:sz w:val="18"/>
              </w:rPr>
            </w:pPr>
            <w:r>
              <w:rPr>
                <w:rFonts w:ascii="sans-serif" w:hAnsi="sans-serif"/>
                <w:color w:val="000000"/>
                <w:sz w:val="18"/>
              </w:rPr>
              <w:t>39,325,142</w:t>
            </w:r>
          </w:p>
        </w:tc>
      </w:tr>
      <w:tr>
        <w:trPr/>
        <w:tc>
          <w:tcPr>
            <w:tcW w:w="6352" w:type="dxa"/>
            <w:tcBorders/>
            <w:tcMar>
              <w:top w:w="0" w:type="dxa"/>
              <w:left w:w="0" w:type="dxa"/>
              <w:bottom w:w="0" w:type="dxa"/>
              <w:right w:w="0" w:type="dxa"/>
            </w:tcMar>
            <w:vAlign w:val="center"/>
          </w:tcPr>
          <w:p>
            <w:pPr>
              <w:pStyle w:val="TableContents"/>
              <w:bidi w:val="0"/>
              <w:spacing w:before="13" w:after="283"/>
              <w:ind w:left="0" w:right="0" w:firstLine="402"/>
              <w:jc w:val="left"/>
              <w:rPr>
                <w:rFonts w:ascii="sans-serif" w:hAnsi="sans-serif"/>
                <w:color w:val="000000"/>
                <w:sz w:val="18"/>
              </w:rPr>
            </w:pPr>
            <w:r>
              <w:rPr>
                <w:rFonts w:ascii="sans-serif" w:hAnsi="sans-serif"/>
                <w:color w:val="000000"/>
                <w:sz w:val="18"/>
              </w:rPr>
              <w:t>Total liabilities</w:t>
            </w:r>
          </w:p>
        </w:tc>
        <w:tc>
          <w:tcPr>
            <w:tcW w:w="1628" w:type="dxa"/>
            <w:tcBorders>
              <w:bottom w:val="single" w:sz="4" w:space="0" w:color="000000"/>
            </w:tcBorders>
            <w:tcMar>
              <w:top w:w="0" w:type="dxa"/>
              <w:left w:w="0" w:type="dxa"/>
              <w:right w:w="0" w:type="dxa"/>
            </w:tcMar>
            <w:vAlign w:val="center"/>
          </w:tcPr>
          <w:p>
            <w:pPr>
              <w:pStyle w:val="TableContents"/>
              <w:bidi w:val="0"/>
              <w:spacing w:before="6" w:after="283"/>
              <w:jc w:val="right"/>
              <w:rPr>
                <w:rFonts w:ascii="sans-serif" w:hAnsi="sans-serif"/>
                <w:color w:val="000000"/>
                <w:sz w:val="18"/>
              </w:rPr>
            </w:pPr>
            <w:r>
              <w:rPr>
                <w:rFonts w:ascii="sans-serif" w:hAnsi="sans-serif"/>
                <w:color w:val="000000"/>
                <w:sz w:val="18"/>
              </w:rPr>
              <w:t>$ 106,010,473</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tcMar>
              <w:top w:w="0" w:type="dxa"/>
              <w:left w:w="0" w:type="dxa"/>
              <w:right w:w="0" w:type="dxa"/>
            </w:tcMar>
            <w:vAlign w:val="center"/>
          </w:tcPr>
          <w:p>
            <w:pPr>
              <w:pStyle w:val="TableContents"/>
              <w:bidi w:val="0"/>
              <w:spacing w:before="6" w:after="283"/>
              <w:ind w:left="0" w:right="0" w:firstLine="73"/>
              <w:jc w:val="right"/>
              <w:rPr>
                <w:rFonts w:ascii="sans-serif" w:hAnsi="sans-serif"/>
                <w:color w:val="000000"/>
                <w:sz w:val="18"/>
              </w:rPr>
            </w:pPr>
            <w:r>
              <w:rPr>
                <w:rFonts w:ascii="sans-serif" w:hAnsi="sans-serif"/>
                <w:color w:val="000000"/>
                <w:sz w:val="18"/>
              </w:rPr>
              <w:t>$ 105,987,296</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73"/>
              <w:jc w:val="left"/>
              <w:rPr>
                <w:rFonts w:ascii="sans-serif" w:hAnsi="sans-serif"/>
                <w:color w:val="000000"/>
                <w:sz w:val="18"/>
              </w:rPr>
            </w:pPr>
            <w:r>
              <w:rPr>
                <w:rFonts w:ascii="sans-serif" w:hAnsi="sans-serif"/>
                <w:color w:val="000000"/>
                <w:sz w:val="18"/>
              </w:rPr>
              <w:t>STOCKHOLDERS’ EQUITY:</w:t>
            </w:r>
          </w:p>
        </w:tc>
        <w:tc>
          <w:tcPr>
            <w:tcW w:w="1628"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left"/>
              <w:rPr/>
            </w:pPr>
            <w:r>
              <w:rPr/>
              <w:t> </w:t>
            </w:r>
          </w:p>
        </w:tc>
      </w:tr>
      <w:tr>
        <w:trPr/>
        <w:tc>
          <w:tcPr>
            <w:tcW w:w="6352" w:type="dxa"/>
            <w:tcBorders/>
            <w:tcMar>
              <w:top w:w="0" w:type="dxa"/>
              <w:left w:w="0" w:type="dxa"/>
              <w:bottom w:w="0" w:type="dxa"/>
              <w:right w:w="0" w:type="dxa"/>
            </w:tcMar>
            <w:vAlign w:val="center"/>
          </w:tcPr>
          <w:p>
            <w:pPr>
              <w:pStyle w:val="TableContents"/>
              <w:bidi w:val="0"/>
              <w:ind w:left="0" w:right="0" w:firstLine="133"/>
              <w:jc w:val="left"/>
              <w:rPr>
                <w:rFonts w:ascii="sans-serif" w:hAnsi="sans-serif"/>
                <w:color w:val="000000"/>
                <w:sz w:val="18"/>
              </w:rPr>
            </w:pPr>
            <w:r>
              <w:rPr>
                <w:rFonts w:ascii="sans-serif" w:hAnsi="sans-serif"/>
                <w:color w:val="000000"/>
                <w:sz w:val="18"/>
              </w:rPr>
              <w:t>Common stock, $0.001 par value of - 10,000,000 shares authorized, 3,912,977 shares issued and</w:t>
            </w:r>
          </w:p>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outstanding,</w:t>
            </w:r>
          </w:p>
        </w:tc>
        <w:tc>
          <w:tcPr>
            <w:tcW w:w="1628" w:type="dxa"/>
            <w:tcBorders/>
            <w:tcMar>
              <w:top w:w="0" w:type="dxa"/>
              <w:left w:w="0" w:type="dxa"/>
              <w:bottom w:w="0" w:type="dxa"/>
              <w:right w:w="0" w:type="dxa"/>
            </w:tcMar>
            <w:vAlign w:val="center"/>
          </w:tcPr>
          <w:p>
            <w:pPr>
              <w:pStyle w:val="TableContents"/>
              <w:bidi w:val="0"/>
              <w:spacing w:before="53" w:after="283"/>
              <w:jc w:val="right"/>
              <w:rPr>
                <w:rFonts w:ascii="sans-serif" w:hAnsi="sans-serif"/>
                <w:color w:val="000000"/>
                <w:sz w:val="18"/>
              </w:rPr>
            </w:pPr>
            <w:r>
              <w:rPr>
                <w:rFonts w:ascii="sans-serif" w:hAnsi="sans-serif"/>
                <w:color w:val="000000"/>
                <w:sz w:val="18"/>
              </w:rPr>
              <w:t>3,913</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53" w:after="283"/>
              <w:ind w:left="0" w:right="0" w:firstLine="133"/>
              <w:jc w:val="right"/>
              <w:rPr>
                <w:rFonts w:ascii="sans-serif" w:hAnsi="sans-serif"/>
                <w:color w:val="000000"/>
                <w:sz w:val="18"/>
              </w:rPr>
            </w:pPr>
            <w:r>
              <w:rPr>
                <w:rFonts w:ascii="sans-serif" w:hAnsi="sans-serif"/>
                <w:color w:val="000000"/>
                <w:sz w:val="18"/>
              </w:rPr>
              <w:t>3,913</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Additional paid in capital</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151,115,587</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151,115,587</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Accumulated other comprehensive income (loss)</w:t>
            </w:r>
          </w:p>
        </w:tc>
        <w:tc>
          <w:tcPr>
            <w:tcW w:w="1628"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7,519,931</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ind w:left="0" w:right="0" w:firstLine="133"/>
              <w:jc w:val="right"/>
              <w:rPr>
                <w:rFonts w:ascii="sans-serif" w:hAnsi="sans-serif"/>
                <w:color w:val="000000"/>
                <w:sz w:val="18"/>
              </w:rPr>
            </w:pPr>
            <w:r>
              <w:rPr>
                <w:rFonts w:ascii="sans-serif" w:hAnsi="sans-serif"/>
                <w:color w:val="000000"/>
                <w:sz w:val="18"/>
              </w:rPr>
              <w:t>7,657,492</w:t>
            </w:r>
          </w:p>
        </w:tc>
      </w:tr>
      <w:tr>
        <w:trPr/>
        <w:tc>
          <w:tcPr>
            <w:tcW w:w="6352" w:type="dxa"/>
            <w:tcBorders/>
            <w:tcMar>
              <w:top w:w="0" w:type="dxa"/>
              <w:left w:w="0" w:type="dxa"/>
              <w:bottom w:w="0" w:type="dxa"/>
              <w:right w:w="0" w:type="dxa"/>
            </w:tcMar>
            <w:vAlign w:val="center"/>
          </w:tcPr>
          <w:p>
            <w:pPr>
              <w:pStyle w:val="TableContents"/>
              <w:bidi w:val="0"/>
              <w:spacing w:before="0" w:after="283"/>
              <w:ind w:left="0" w:right="0" w:firstLine="133"/>
              <w:jc w:val="left"/>
              <w:rPr>
                <w:rFonts w:ascii="sans-serif" w:hAnsi="sans-serif"/>
                <w:color w:val="000000"/>
                <w:sz w:val="18"/>
              </w:rPr>
            </w:pPr>
            <w:r>
              <w:rPr>
                <w:rFonts w:ascii="sans-serif" w:hAnsi="sans-serif"/>
                <w:color w:val="000000"/>
                <w:sz w:val="18"/>
              </w:rPr>
              <w:t>Retained earnings</w:t>
            </w:r>
          </w:p>
        </w:tc>
        <w:tc>
          <w:tcPr>
            <w:tcW w:w="16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100,754,690</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tcMar>
              <w:top w:w="0" w:type="dxa"/>
              <w:left w:w="0" w:type="dxa"/>
              <w:right w:w="0" w:type="dxa"/>
            </w:tcMar>
            <w:vAlign w:val="center"/>
          </w:tcPr>
          <w:p>
            <w:pPr>
              <w:pStyle w:val="TableContents"/>
              <w:bidi w:val="0"/>
              <w:spacing w:before="0" w:after="283"/>
              <w:ind w:left="0" w:right="0" w:firstLine="402"/>
              <w:jc w:val="right"/>
              <w:rPr>
                <w:rFonts w:ascii="sans-serif" w:hAnsi="sans-serif"/>
                <w:color w:val="000000"/>
                <w:sz w:val="18"/>
              </w:rPr>
            </w:pPr>
            <w:r>
              <w:rPr>
                <w:rFonts w:ascii="sans-serif" w:hAnsi="sans-serif"/>
                <w:color w:val="000000"/>
                <w:sz w:val="18"/>
              </w:rPr>
              <w:t>98,871,073</w:t>
            </w:r>
          </w:p>
        </w:tc>
      </w:tr>
      <w:tr>
        <w:trPr/>
        <w:tc>
          <w:tcPr>
            <w:tcW w:w="6352" w:type="dxa"/>
            <w:tcBorders/>
            <w:tcMar>
              <w:top w:w="0" w:type="dxa"/>
              <w:left w:w="0" w:type="dxa"/>
              <w:bottom w:w="0" w:type="dxa"/>
              <w:right w:w="0" w:type="dxa"/>
            </w:tcMar>
            <w:vAlign w:val="center"/>
          </w:tcPr>
          <w:p>
            <w:pPr>
              <w:pStyle w:val="TableContents"/>
              <w:bidi w:val="0"/>
              <w:spacing w:before="13" w:after="283"/>
              <w:ind w:left="0" w:right="0" w:firstLine="402"/>
              <w:jc w:val="left"/>
              <w:rPr>
                <w:rFonts w:ascii="sans-serif" w:hAnsi="sans-serif"/>
                <w:color w:val="000000"/>
                <w:sz w:val="18"/>
              </w:rPr>
            </w:pPr>
            <w:r>
              <w:rPr>
                <w:rFonts w:ascii="sans-serif" w:hAnsi="sans-serif"/>
                <w:color w:val="000000"/>
                <w:sz w:val="18"/>
              </w:rPr>
              <w:t>Total stockholders’ equity</w:t>
            </w:r>
          </w:p>
        </w:tc>
        <w:tc>
          <w:tcPr>
            <w:tcW w:w="1628" w:type="dxa"/>
            <w:tcBorders>
              <w:bottom w:val="single" w:sz="4" w:space="0" w:color="000000"/>
            </w:tcBorders>
            <w:tcMar>
              <w:top w:w="0" w:type="dxa"/>
              <w:left w:w="0" w:type="dxa"/>
              <w:right w:w="0" w:type="dxa"/>
            </w:tcMar>
            <w:vAlign w:val="center"/>
          </w:tcPr>
          <w:p>
            <w:pPr>
              <w:pStyle w:val="TableContents"/>
              <w:bidi w:val="0"/>
              <w:spacing w:before="6" w:after="283"/>
              <w:jc w:val="right"/>
              <w:rPr>
                <w:rFonts w:ascii="sans-serif" w:hAnsi="sans-serif"/>
                <w:color w:val="000000"/>
                <w:sz w:val="18"/>
              </w:rPr>
            </w:pPr>
            <w:r>
              <w:rPr>
                <w:rFonts w:ascii="sans-serif" w:hAnsi="sans-serif"/>
                <w:color w:val="000000"/>
                <w:sz w:val="18"/>
              </w:rPr>
              <w:t>$ 259,394,120</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single" w:sz="4" w:space="0" w:color="000000"/>
            </w:tcBorders>
            <w:tcMar>
              <w:top w:w="0" w:type="dxa"/>
              <w:left w:w="0" w:type="dxa"/>
              <w:right w:w="0" w:type="dxa"/>
            </w:tcMar>
            <w:vAlign w:val="center"/>
          </w:tcPr>
          <w:p>
            <w:pPr>
              <w:pStyle w:val="TableContents"/>
              <w:bidi w:val="0"/>
              <w:spacing w:before="6" w:after="283"/>
              <w:ind w:left="0" w:right="0" w:firstLine="73"/>
              <w:jc w:val="right"/>
              <w:rPr>
                <w:rFonts w:ascii="sans-serif" w:hAnsi="sans-serif"/>
                <w:color w:val="000000"/>
                <w:sz w:val="18"/>
              </w:rPr>
            </w:pPr>
            <w:r>
              <w:rPr>
                <w:rFonts w:ascii="sans-serif" w:hAnsi="sans-serif"/>
                <w:color w:val="000000"/>
                <w:sz w:val="18"/>
              </w:rPr>
              <w:t>$ 257,648,065</w:t>
            </w:r>
          </w:p>
        </w:tc>
      </w:tr>
      <w:tr>
        <w:trPr/>
        <w:tc>
          <w:tcPr>
            <w:tcW w:w="6352" w:type="dxa"/>
            <w:tcBorders/>
            <w:tcMar>
              <w:top w:w="0" w:type="dxa"/>
              <w:left w:w="0" w:type="dxa"/>
              <w:bottom w:w="0" w:type="dxa"/>
              <w:right w:w="0" w:type="dxa"/>
            </w:tcMar>
            <w:vAlign w:val="center"/>
          </w:tcPr>
          <w:p>
            <w:pPr>
              <w:pStyle w:val="TableContents"/>
              <w:bidi w:val="0"/>
              <w:spacing w:before="49" w:after="283"/>
              <w:ind w:left="0" w:right="0" w:firstLine="73"/>
              <w:jc w:val="left"/>
              <w:rPr>
                <w:rFonts w:ascii="sans-serif" w:hAnsi="sans-serif"/>
                <w:color w:val="000000"/>
                <w:sz w:val="18"/>
              </w:rPr>
            </w:pPr>
            <w:r>
              <w:rPr>
                <w:rFonts w:ascii="sans-serif" w:hAnsi="sans-serif"/>
                <w:color w:val="000000"/>
                <w:sz w:val="18"/>
              </w:rPr>
              <w:t>TOTAL LIABILITIES AND STOCKHOLDERS’ EQUITY</w:t>
            </w:r>
          </w:p>
        </w:tc>
        <w:tc>
          <w:tcPr>
            <w:tcW w:w="1628" w:type="dxa"/>
            <w:tcBorders>
              <w:bottom w:val="double" w:sz="4" w:space="0" w:color="000000"/>
            </w:tcBorders>
            <w:tcMar>
              <w:top w:w="0" w:type="dxa"/>
              <w:left w:w="0" w:type="dxa"/>
              <w:right w:w="0" w:type="dxa"/>
            </w:tcMar>
            <w:vAlign w:val="center"/>
          </w:tcPr>
          <w:p>
            <w:pPr>
              <w:pStyle w:val="TableContents"/>
              <w:bidi w:val="0"/>
              <w:spacing w:before="25" w:after="283"/>
              <w:jc w:val="right"/>
              <w:rPr>
                <w:rFonts w:ascii="sans-serif" w:hAnsi="sans-serif"/>
                <w:color w:val="000000"/>
                <w:sz w:val="18"/>
              </w:rPr>
            </w:pPr>
            <w:r>
              <w:rPr>
                <w:rFonts w:ascii="sans-serif" w:hAnsi="sans-serif"/>
                <w:color w:val="000000"/>
                <w:sz w:val="18"/>
              </w:rPr>
              <w:t>$ 365,404,593</w:t>
            </w:r>
          </w:p>
        </w:tc>
        <w:tc>
          <w:tcPr>
            <w:tcW w:w="219"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006" w:type="dxa"/>
            <w:tcBorders>
              <w:bottom w:val="double" w:sz="4" w:space="0" w:color="000000"/>
            </w:tcBorders>
            <w:tcMar>
              <w:top w:w="0" w:type="dxa"/>
              <w:left w:w="0" w:type="dxa"/>
              <w:right w:w="0" w:type="dxa"/>
            </w:tcMar>
            <w:vAlign w:val="center"/>
          </w:tcPr>
          <w:p>
            <w:pPr>
              <w:pStyle w:val="TableContents"/>
              <w:bidi w:val="0"/>
              <w:spacing w:before="25" w:after="283"/>
              <w:jc w:val="right"/>
              <w:rPr>
                <w:rFonts w:ascii="sans-serif" w:hAnsi="sans-serif"/>
                <w:color w:val="000000"/>
                <w:sz w:val="18"/>
              </w:rPr>
            </w:pPr>
            <w:r>
              <w:rPr>
                <w:rFonts w:ascii="sans-serif" w:hAnsi="sans-serif"/>
                <w:color w:val="000000"/>
                <w:sz w:val="18"/>
              </w:rPr>
              <w:t>$ 363,635,361</w:t>
            </w:r>
          </w:p>
        </w:tc>
      </w:tr>
      <w:tr>
        <w:trPr/>
        <w:tc>
          <w:tcPr>
            <w:tcW w:w="10205" w:type="dxa"/>
            <w:gridSpan w:val="4"/>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98" w:after="283"/>
              <w:jc w:val="left"/>
              <w:rPr/>
            </w:pPr>
            <w:r>
              <w:rPr/>
              <w:t> </w:t>
            </w:r>
          </w:p>
          <w:p>
            <w:pPr>
              <w:pStyle w:val="TableContents"/>
              <w:bidi w:val="0"/>
              <w:spacing w:before="0" w:after="283"/>
              <w:jc w:val="left"/>
              <w:rPr>
                <w:rFonts w:ascii="sans-serif" w:hAnsi="sans-serif"/>
                <w:color w:val="000000"/>
                <w:sz w:val="18"/>
              </w:rPr>
            </w:pPr>
            <w:r>
              <w:rPr>
                <w:rFonts w:ascii="sans-serif" w:hAnsi="sans-serif"/>
                <w:color w:val="000000"/>
                <w:sz w:val="18"/>
              </w:rPr>
              <w:t>The accompanying notes are an integral part of these condensed combined and consolidated financial statements.</w:t>
            </w:r>
          </w:p>
        </w:tc>
      </w:tr>
    </w:tbl>
    <w:p>
      <w:pPr>
        <w:pStyle w:val="TextBody"/>
        <w:bidi w:val="0"/>
        <w:jc w:val="left"/>
        <w:rPr/>
      </w:pPr>
      <w:r>
        <w:rPr/>
        <w:t>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58"/>
        <w:gridCol w:w="2545"/>
        <w:gridCol w:w="366"/>
        <w:gridCol w:w="2336"/>
      </w:tblGrid>
      <w:tr>
        <w:trPr/>
        <w:tc>
          <w:tcPr>
            <w:tcW w:w="4958"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ind w:left="0" w:right="0" w:firstLine="29"/>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ind w:left="0" w:right="0" w:firstLine="29"/>
              <w:jc w:val="left"/>
              <w:rPr>
                <w:rFonts w:ascii="sans-serif" w:hAnsi="sans-serif"/>
                <w:b/>
                <w:color w:val="000000"/>
                <w:sz w:val="23"/>
              </w:rPr>
            </w:pPr>
            <w:r>
              <w:rPr>
                <w:rFonts w:ascii="sans-serif" w:hAnsi="sans-serif"/>
                <w:b/>
                <w:color w:val="000000"/>
                <w:sz w:val="23"/>
              </w:rPr>
              <w:t>KUBRA HOLDINGS, INC. AND SUBSIDIARIES, AND KUBRA DATA TRANSFER LTD.</w:t>
            </w:r>
          </w:p>
        </w:tc>
      </w:tr>
      <w:tr>
        <w:trPr/>
        <w:tc>
          <w:tcPr>
            <w:tcW w:w="10205" w:type="dxa"/>
            <w:gridSpan w:val="4"/>
            <w:tcBorders/>
            <w:tcMar>
              <w:top w:w="0" w:type="dxa"/>
              <w:left w:w="0" w:type="dxa"/>
              <w:bottom w:w="0" w:type="dxa"/>
              <w:right w:w="0" w:type="dxa"/>
            </w:tcMar>
            <w:vAlign w:val="center"/>
          </w:tcPr>
          <w:p>
            <w:pPr>
              <w:pStyle w:val="TableContents"/>
              <w:bidi w:val="0"/>
              <w:spacing w:before="0" w:after="283"/>
              <w:ind w:left="0" w:right="0" w:firstLine="29"/>
              <w:jc w:val="left"/>
              <w:rPr>
                <w:rFonts w:ascii="Times New Roman" w:hAnsi="Times New Roman"/>
                <w:sz w:val="23"/>
              </w:rPr>
            </w:pPr>
            <w:r>
              <w:rPr>
                <w:rFonts w:ascii="sans-serif" w:hAnsi="sans-serif"/>
                <w:b/>
                <w:color w:val="000000"/>
                <w:sz w:val="23"/>
              </w:rPr>
              <w:t>CONDENSED COMBINED AND CONSOLIDATED STATEMENTS OF OPERATIONS</w:t>
            </w:r>
            <w:r>
              <w:rPr>
                <w:rFonts w:ascii="Times New Roman" w:hAnsi="Times New Roman"/>
                <w:color w:val="000000"/>
                <w:sz w:val="23"/>
              </w:rPr>
              <w:t xml:space="preserve"> </w:t>
            </w:r>
          </w:p>
        </w:tc>
      </w:tr>
      <w:tr>
        <w:trPr/>
        <w:tc>
          <w:tcPr>
            <w:tcW w:w="10205" w:type="dxa"/>
            <w:gridSpan w:val="4"/>
            <w:tcBorders>
              <w:bottom w:val="single" w:sz="4" w:space="0" w:color="000000"/>
            </w:tcBorders>
            <w:tcMar>
              <w:top w:w="0" w:type="dxa"/>
              <w:left w:w="0" w:type="dxa"/>
              <w:right w:w="0" w:type="dxa"/>
            </w:tcMar>
            <w:vAlign w:val="center"/>
          </w:tcPr>
          <w:p>
            <w:pPr>
              <w:pStyle w:val="TableContents"/>
              <w:bidi w:val="0"/>
              <w:spacing w:before="0" w:after="283"/>
              <w:ind w:left="0" w:right="0" w:firstLine="29"/>
              <w:jc w:val="left"/>
              <w:rPr>
                <w:rFonts w:ascii="sans-serif" w:hAnsi="sans-serif"/>
                <w:b/>
                <w:color w:val="000000"/>
                <w:sz w:val="23"/>
              </w:rPr>
            </w:pPr>
            <w:r>
              <w:rPr>
                <w:rFonts w:ascii="sans-serif" w:hAnsi="sans-serif"/>
                <w:b/>
                <w:color w:val="000000"/>
                <w:sz w:val="23"/>
              </w:rPr>
              <w:t>FOR THE THREE MONTHS ENDED MARCH 31, 2026 AND 2025 (UNAUDITED)</w:t>
            </w:r>
          </w:p>
        </w:tc>
      </w:tr>
      <w:tr>
        <w:trPr/>
        <w:tc>
          <w:tcPr>
            <w:tcW w:w="4958" w:type="dxa"/>
            <w:tcBorders/>
            <w:tcMar>
              <w:top w:w="0" w:type="dxa"/>
              <w:left w:w="0" w:type="dxa"/>
              <w:bottom w:w="0" w:type="dxa"/>
              <w:right w:w="0" w:type="dxa"/>
            </w:tcMar>
            <w:vAlign w:val="center"/>
          </w:tcPr>
          <w:p>
            <w:pPr>
              <w:pStyle w:val="TableContents"/>
              <w:bidi w:val="0"/>
              <w:spacing w:before="0" w:after="283"/>
              <w:ind w:left="0" w:right="0" w:firstLine="126"/>
              <w:jc w:val="left"/>
              <w:rPr/>
            </w:pPr>
            <w:r>
              <w:rPr/>
              <w:t> </w:t>
            </w:r>
          </w:p>
        </w:tc>
        <w:tc>
          <w:tcPr>
            <w:tcW w:w="2545" w:type="dxa"/>
            <w:tcBorders/>
            <w:tcMar>
              <w:top w:w="0" w:type="dxa"/>
              <w:left w:w="0" w:type="dxa"/>
              <w:bottom w:w="0" w:type="dxa"/>
              <w:right w:w="0" w:type="dxa"/>
            </w:tcMar>
            <w:vAlign w:val="center"/>
          </w:tcPr>
          <w:p>
            <w:pPr>
              <w:pStyle w:val="TableContents"/>
              <w:bidi w:val="0"/>
              <w:spacing w:before="1" w:after="283"/>
              <w:ind w:left="0" w:right="0" w:firstLine="126"/>
              <w:jc w:val="center"/>
              <w:rPr/>
            </w:pPr>
            <w:r>
              <w:rPr/>
              <w:t> </w:t>
            </w:r>
          </w:p>
          <w:p>
            <w:pPr>
              <w:pStyle w:val="TableContents"/>
              <w:bidi w:val="0"/>
              <w:spacing w:before="1" w:after="283"/>
              <w:ind w:left="0" w:right="0" w:firstLine="126"/>
              <w:jc w:val="center"/>
              <w:rPr>
                <w:rFonts w:ascii="sans-serif" w:hAnsi="sans-serif"/>
                <w:b/>
                <w:color w:val="000000"/>
                <w:sz w:val="18"/>
              </w:rPr>
            </w:pPr>
            <w:r>
              <w:rPr>
                <w:rFonts w:ascii="sans-serif" w:hAnsi="sans-serif"/>
                <w:b/>
                <w:color w:val="000000"/>
                <w:sz w:val="18"/>
              </w:rPr>
              <w:t>2026</w:t>
            </w:r>
          </w:p>
        </w:tc>
        <w:tc>
          <w:tcPr>
            <w:tcW w:w="366" w:type="dxa"/>
            <w:tcBorders/>
            <w:tcMar>
              <w:top w:w="0" w:type="dxa"/>
              <w:left w:w="0" w:type="dxa"/>
              <w:bottom w:w="0" w:type="dxa"/>
              <w:right w:w="0" w:type="dxa"/>
            </w:tcMar>
            <w:vAlign w:val="center"/>
          </w:tcPr>
          <w:p>
            <w:pPr>
              <w:pStyle w:val="TableContents"/>
              <w:bidi w:val="0"/>
              <w:spacing w:before="0" w:after="283"/>
              <w:ind w:left="0" w:right="0" w:firstLine="121"/>
              <w:jc w:val="center"/>
              <w:rPr/>
            </w:pPr>
            <w:r>
              <w:rPr/>
              <w:t> </w:t>
            </w:r>
          </w:p>
        </w:tc>
        <w:tc>
          <w:tcPr>
            <w:tcW w:w="2336" w:type="dxa"/>
            <w:tcBorders/>
            <w:tcMar>
              <w:top w:w="0" w:type="dxa"/>
              <w:left w:w="0" w:type="dxa"/>
              <w:bottom w:w="0" w:type="dxa"/>
              <w:right w:w="0" w:type="dxa"/>
            </w:tcMar>
            <w:vAlign w:val="center"/>
          </w:tcPr>
          <w:p>
            <w:pPr>
              <w:pStyle w:val="TableContents"/>
              <w:bidi w:val="0"/>
              <w:spacing w:before="1" w:after="283"/>
              <w:ind w:left="0" w:right="0" w:firstLine="121"/>
              <w:jc w:val="center"/>
              <w:rPr/>
            </w:pPr>
            <w:r>
              <w:rPr/>
              <w:t> </w:t>
            </w:r>
          </w:p>
          <w:p>
            <w:pPr>
              <w:pStyle w:val="TableContents"/>
              <w:bidi w:val="0"/>
              <w:spacing w:before="1" w:after="283"/>
              <w:ind w:left="0" w:right="0" w:firstLine="121"/>
              <w:jc w:val="center"/>
              <w:rPr>
                <w:rFonts w:ascii="sans-serif" w:hAnsi="sans-serif"/>
                <w:b/>
                <w:color w:val="000000"/>
                <w:sz w:val="18"/>
              </w:rPr>
            </w:pPr>
            <w:r>
              <w:rPr>
                <w:rFonts w:ascii="sans-serif" w:hAnsi="sans-serif"/>
                <w:b/>
                <w:color w:val="000000"/>
                <w:sz w:val="18"/>
              </w:rPr>
              <w:t>2025</w:t>
            </w:r>
          </w:p>
        </w:tc>
      </w:tr>
      <w:tr>
        <w:trPr/>
        <w:tc>
          <w:tcPr>
            <w:tcW w:w="4958" w:type="dxa"/>
            <w:tcBorders/>
            <w:tcMar>
              <w:top w:w="0" w:type="dxa"/>
              <w:left w:w="0" w:type="dxa"/>
              <w:bottom w:w="0" w:type="dxa"/>
              <w:right w:w="0" w:type="dxa"/>
            </w:tcMar>
            <w:vAlign w:val="center"/>
          </w:tcPr>
          <w:p>
            <w:pPr>
              <w:pStyle w:val="TableContents"/>
              <w:bidi w:val="0"/>
              <w:spacing w:before="148" w:after="283"/>
              <w:jc w:val="left"/>
              <w:rPr/>
            </w:pPr>
            <w:r>
              <w:rPr/>
              <w:t> </w:t>
            </w:r>
          </w:p>
          <w:p>
            <w:pPr>
              <w:pStyle w:val="TableContents"/>
              <w:bidi w:val="0"/>
              <w:spacing w:before="0" w:after="283"/>
              <w:ind w:left="0" w:right="0" w:firstLine="396"/>
              <w:jc w:val="left"/>
              <w:rPr>
                <w:rFonts w:ascii="sans-serif" w:hAnsi="sans-serif"/>
                <w:color w:val="000000"/>
                <w:sz w:val="18"/>
              </w:rPr>
            </w:pPr>
            <w:r>
              <w:rPr>
                <w:rFonts w:ascii="sans-serif" w:hAnsi="sans-serif"/>
                <w:color w:val="000000"/>
                <w:sz w:val="18"/>
              </w:rPr>
              <w:t>REVENUE</w:t>
            </w:r>
          </w:p>
        </w:tc>
        <w:tc>
          <w:tcPr>
            <w:tcW w:w="2545" w:type="dxa"/>
            <w:tcBorders/>
            <w:tcMar>
              <w:top w:w="0" w:type="dxa"/>
              <w:left w:w="0" w:type="dxa"/>
              <w:bottom w:w="0" w:type="dxa"/>
              <w:right w:w="0" w:type="dxa"/>
            </w:tcMar>
            <w:vAlign w:val="center"/>
          </w:tcPr>
          <w:p>
            <w:pPr>
              <w:pStyle w:val="TableContents"/>
              <w:bidi w:val="0"/>
              <w:spacing w:before="1" w:after="283"/>
              <w:ind w:left="0" w:right="0" w:firstLine="396"/>
              <w:jc w:val="right"/>
              <w:rPr>
                <w:rFonts w:ascii="sans-serif" w:hAnsi="sans-serif"/>
                <w:color w:val="000000"/>
                <w:sz w:val="18"/>
              </w:rPr>
            </w:pPr>
            <w:r>
              <w:rPr>
                <w:rFonts w:ascii="sans-serif" w:hAnsi="sans-serif"/>
                <w:color w:val="000000"/>
                <w:sz w:val="18"/>
              </w:rPr>
              <w:t>$65,102,942</w:t>
            </w:r>
          </w:p>
        </w:tc>
        <w:tc>
          <w:tcPr>
            <w:tcW w:w="3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6" w:type="dxa"/>
            <w:tcBorders/>
            <w:tcMar>
              <w:top w:w="0" w:type="dxa"/>
              <w:left w:w="0" w:type="dxa"/>
              <w:bottom w:w="0" w:type="dxa"/>
              <w:right w:w="0" w:type="dxa"/>
            </w:tcMar>
            <w:vAlign w:val="center"/>
          </w:tcPr>
          <w:p>
            <w:pPr>
              <w:pStyle w:val="TableContents"/>
              <w:bidi w:val="0"/>
              <w:spacing w:before="1" w:after="283"/>
              <w:ind w:left="0" w:right="0" w:firstLine="33"/>
              <w:jc w:val="right"/>
              <w:rPr>
                <w:rFonts w:ascii="sans-serif" w:hAnsi="sans-serif"/>
                <w:color w:val="000000"/>
                <w:sz w:val="18"/>
              </w:rPr>
            </w:pPr>
            <w:r>
              <w:rPr>
                <w:rFonts w:ascii="sans-serif" w:hAnsi="sans-serif"/>
                <w:color w:val="000000"/>
                <w:sz w:val="18"/>
              </w:rPr>
              <w:t>$58,382,475</w:t>
            </w:r>
          </w:p>
        </w:tc>
      </w:tr>
      <w:tr>
        <w:trPr/>
        <w:tc>
          <w:tcPr>
            <w:tcW w:w="4958" w:type="dxa"/>
            <w:tcBorders/>
            <w:tcMar>
              <w:top w:w="0" w:type="dxa"/>
              <w:left w:w="0" w:type="dxa"/>
              <w:bottom w:w="0" w:type="dxa"/>
              <w:right w:w="0" w:type="dxa"/>
            </w:tcMar>
            <w:vAlign w:val="center"/>
          </w:tcPr>
          <w:p>
            <w:pPr>
              <w:pStyle w:val="TableContents"/>
              <w:bidi w:val="0"/>
              <w:spacing w:before="32" w:after="283"/>
              <w:ind w:left="0" w:right="0" w:firstLine="569"/>
              <w:jc w:val="left"/>
              <w:rPr>
                <w:rFonts w:ascii="sans-serif" w:hAnsi="sans-serif"/>
                <w:color w:val="000000"/>
                <w:sz w:val="18"/>
              </w:rPr>
            </w:pPr>
            <w:r>
              <w:rPr>
                <w:rFonts w:ascii="sans-serif" w:hAnsi="sans-serif"/>
                <w:color w:val="000000"/>
                <w:sz w:val="18"/>
              </w:rPr>
              <w:t>COST OF REVENUE</w:t>
            </w:r>
          </w:p>
        </w:tc>
        <w:tc>
          <w:tcPr>
            <w:tcW w:w="2545" w:type="dxa"/>
            <w:tcBorders>
              <w:bottom w:val="single" w:sz="4" w:space="0" w:color="000000"/>
            </w:tcBorders>
            <w:tcMar>
              <w:top w:w="0" w:type="dxa"/>
              <w:left w:w="0" w:type="dxa"/>
              <w:right w:w="0" w:type="dxa"/>
            </w:tcMar>
            <w:vAlign w:val="center"/>
          </w:tcPr>
          <w:p>
            <w:pPr>
              <w:pStyle w:val="TableContents"/>
              <w:bidi w:val="0"/>
              <w:spacing w:before="44" w:after="283"/>
              <w:ind w:left="0" w:right="0" w:firstLine="569"/>
              <w:jc w:val="right"/>
              <w:rPr>
                <w:rFonts w:ascii="sans-serif" w:hAnsi="sans-serif"/>
                <w:color w:val="000000"/>
                <w:sz w:val="18"/>
              </w:rPr>
            </w:pPr>
            <w:r>
              <w:rPr>
                <w:rFonts w:ascii="sans-serif" w:hAnsi="sans-serif"/>
                <w:color w:val="000000"/>
                <w:sz w:val="18"/>
              </w:rPr>
              <w:t>34,268,253</w:t>
            </w:r>
          </w:p>
        </w:tc>
        <w:tc>
          <w:tcPr>
            <w:tcW w:w="3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36" w:type="dxa"/>
            <w:tcBorders>
              <w:bottom w:val="single" w:sz="4" w:space="0" w:color="000000"/>
            </w:tcBorders>
            <w:tcMar>
              <w:top w:w="0" w:type="dxa"/>
              <w:left w:w="0" w:type="dxa"/>
              <w:right w:w="0" w:type="dxa"/>
            </w:tcMar>
            <w:vAlign w:val="center"/>
          </w:tcPr>
          <w:p>
            <w:pPr>
              <w:pStyle w:val="TableContents"/>
              <w:bidi w:val="0"/>
              <w:spacing w:before="44" w:after="283"/>
              <w:ind w:left="0" w:right="0" w:firstLine="33"/>
              <w:jc w:val="right"/>
              <w:rPr>
                <w:rFonts w:ascii="sans-serif" w:hAnsi="sans-serif"/>
                <w:color w:val="000000"/>
                <w:sz w:val="18"/>
              </w:rPr>
            </w:pPr>
            <w:r>
              <w:rPr>
                <w:rFonts w:ascii="sans-serif" w:hAnsi="sans-serif"/>
                <w:color w:val="000000"/>
                <w:sz w:val="18"/>
              </w:rPr>
              <w:t>34,329,236</w:t>
            </w:r>
          </w:p>
        </w:tc>
      </w:tr>
      <w:tr>
        <w:trPr/>
        <w:tc>
          <w:tcPr>
            <w:tcW w:w="4958" w:type="dxa"/>
            <w:tcBorders/>
            <w:tcMar>
              <w:top w:w="0" w:type="dxa"/>
              <w:left w:w="0" w:type="dxa"/>
              <w:bottom w:w="0" w:type="dxa"/>
              <w:right w:w="0" w:type="dxa"/>
            </w:tcMar>
            <w:vAlign w:val="center"/>
          </w:tcPr>
          <w:p>
            <w:pPr>
              <w:pStyle w:val="TableContents"/>
              <w:bidi w:val="0"/>
              <w:spacing w:before="30" w:after="283"/>
              <w:ind w:left="0" w:right="0" w:firstLine="569"/>
              <w:jc w:val="left"/>
              <w:rPr>
                <w:rFonts w:ascii="sans-serif" w:hAnsi="sans-serif"/>
                <w:color w:val="000000"/>
                <w:sz w:val="18"/>
              </w:rPr>
            </w:pPr>
            <w:r>
              <w:rPr>
                <w:rFonts w:ascii="sans-serif" w:hAnsi="sans-serif"/>
                <w:color w:val="000000"/>
                <w:sz w:val="18"/>
              </w:rPr>
              <w:t>GROSS PROFIT</w:t>
            </w:r>
          </w:p>
        </w:tc>
        <w:tc>
          <w:tcPr>
            <w:tcW w:w="2545" w:type="dxa"/>
            <w:tcBorders>
              <w:bottom w:val="single" w:sz="4" w:space="0" w:color="000000"/>
            </w:tcBorders>
            <w:tcMar>
              <w:top w:w="0" w:type="dxa"/>
              <w:left w:w="0" w:type="dxa"/>
              <w:right w:w="0" w:type="dxa"/>
            </w:tcMar>
            <w:vAlign w:val="center"/>
          </w:tcPr>
          <w:p>
            <w:pPr>
              <w:pStyle w:val="TableContents"/>
              <w:bidi w:val="0"/>
              <w:spacing w:before="97" w:after="283"/>
              <w:ind w:left="0" w:right="0" w:firstLine="569"/>
              <w:jc w:val="right"/>
              <w:rPr>
                <w:rFonts w:ascii="sans-serif" w:hAnsi="sans-serif"/>
                <w:color w:val="000000"/>
                <w:sz w:val="18"/>
              </w:rPr>
            </w:pPr>
            <w:r>
              <w:rPr>
                <w:rFonts w:ascii="sans-serif" w:hAnsi="sans-serif"/>
                <w:color w:val="000000"/>
                <w:sz w:val="18"/>
              </w:rPr>
              <w:t>30,834,689</w:t>
            </w:r>
          </w:p>
        </w:tc>
        <w:tc>
          <w:tcPr>
            <w:tcW w:w="3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36" w:type="dxa"/>
            <w:tcBorders>
              <w:bottom w:val="single" w:sz="4" w:space="0" w:color="000000"/>
            </w:tcBorders>
            <w:tcMar>
              <w:top w:w="0" w:type="dxa"/>
              <w:left w:w="0" w:type="dxa"/>
              <w:right w:w="0" w:type="dxa"/>
            </w:tcMar>
            <w:vAlign w:val="center"/>
          </w:tcPr>
          <w:p>
            <w:pPr>
              <w:pStyle w:val="TableContents"/>
              <w:bidi w:val="0"/>
              <w:spacing w:before="97" w:after="283"/>
              <w:ind w:left="0" w:right="0" w:firstLine="33"/>
              <w:jc w:val="right"/>
              <w:rPr>
                <w:rFonts w:ascii="sans-serif" w:hAnsi="sans-serif"/>
                <w:color w:val="000000"/>
                <w:sz w:val="18"/>
              </w:rPr>
            </w:pPr>
            <w:r>
              <w:rPr>
                <w:rFonts w:ascii="sans-serif" w:hAnsi="sans-serif"/>
                <w:color w:val="000000"/>
                <w:sz w:val="18"/>
              </w:rPr>
              <w:t>24,053,238</w:t>
            </w:r>
          </w:p>
        </w:tc>
      </w:tr>
      <w:tr>
        <w:trPr/>
        <w:tc>
          <w:tcPr>
            <w:tcW w:w="4958" w:type="dxa"/>
            <w:tcBorders/>
            <w:tcMar>
              <w:top w:w="0" w:type="dxa"/>
              <w:left w:w="0" w:type="dxa"/>
              <w:bottom w:w="0" w:type="dxa"/>
              <w:right w:w="0" w:type="dxa"/>
            </w:tcMar>
            <w:vAlign w:val="center"/>
          </w:tcPr>
          <w:p>
            <w:pPr>
              <w:pStyle w:val="TableContents"/>
              <w:bidi w:val="0"/>
              <w:spacing w:before="87" w:after="283"/>
              <w:ind w:left="0" w:right="0" w:firstLine="33"/>
              <w:jc w:val="left"/>
              <w:rPr>
                <w:rFonts w:ascii="sans-serif" w:hAnsi="sans-serif"/>
                <w:color w:val="000000"/>
                <w:sz w:val="18"/>
              </w:rPr>
            </w:pPr>
            <w:r>
              <w:rPr>
                <w:rFonts w:ascii="sans-serif" w:hAnsi="sans-serif"/>
                <w:color w:val="000000"/>
                <w:sz w:val="18"/>
              </w:rPr>
              <w:t>OPERATING EXPENSES:</w:t>
            </w:r>
          </w:p>
        </w:tc>
        <w:tc>
          <w:tcPr>
            <w:tcW w:w="2545" w:type="dxa"/>
            <w:tcBorders/>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6" w:type="dxa"/>
            <w:tcBorders/>
            <w:tcMar>
              <w:top w:w="0" w:type="dxa"/>
              <w:left w:w="0" w:type="dxa"/>
              <w:bottom w:w="0" w:type="dxa"/>
              <w:right w:w="0" w:type="dxa"/>
            </w:tcMar>
            <w:vAlign w:val="center"/>
          </w:tcPr>
          <w:p>
            <w:pPr>
              <w:pStyle w:val="TableContents"/>
              <w:bidi w:val="0"/>
              <w:spacing w:before="0" w:after="283"/>
              <w:ind w:left="0" w:right="0" w:firstLine="134"/>
              <w:jc w:val="right"/>
              <w:rPr/>
            </w:pPr>
            <w:r>
              <w:rPr/>
              <w:t> </w:t>
            </w:r>
          </w:p>
        </w:tc>
      </w:tr>
      <w:tr>
        <w:trPr/>
        <w:tc>
          <w:tcPr>
            <w:tcW w:w="4958" w:type="dxa"/>
            <w:tcBorders/>
            <w:tcMar>
              <w:top w:w="0" w:type="dxa"/>
              <w:left w:w="0" w:type="dxa"/>
              <w:bottom w:w="0" w:type="dxa"/>
              <w:right w:w="0" w:type="dxa"/>
            </w:tcMar>
            <w:vAlign w:val="center"/>
          </w:tcPr>
          <w:p>
            <w:pPr>
              <w:pStyle w:val="TableContents"/>
              <w:bidi w:val="0"/>
              <w:spacing w:before="38" w:after="283"/>
              <w:ind w:left="0" w:right="0" w:firstLine="660"/>
              <w:jc w:val="left"/>
              <w:rPr>
                <w:rFonts w:ascii="sans-serif" w:hAnsi="sans-serif"/>
                <w:color w:val="000000"/>
                <w:sz w:val="18"/>
              </w:rPr>
            </w:pPr>
            <w:r>
              <w:rPr>
                <w:rFonts w:ascii="sans-serif" w:hAnsi="sans-serif"/>
                <w:color w:val="000000"/>
                <w:sz w:val="18"/>
              </w:rPr>
              <w:t>Research and development</w:t>
            </w:r>
          </w:p>
        </w:tc>
        <w:tc>
          <w:tcPr>
            <w:tcW w:w="2545" w:type="dxa"/>
            <w:tcBorders/>
            <w:tcMar>
              <w:top w:w="0" w:type="dxa"/>
              <w:left w:w="0" w:type="dxa"/>
              <w:bottom w:w="0" w:type="dxa"/>
              <w:right w:w="0" w:type="dxa"/>
            </w:tcMar>
            <w:vAlign w:val="center"/>
          </w:tcPr>
          <w:p>
            <w:pPr>
              <w:pStyle w:val="TableContents"/>
              <w:bidi w:val="0"/>
              <w:spacing w:before="47" w:after="283"/>
              <w:ind w:left="0" w:right="0" w:firstLine="660"/>
              <w:jc w:val="right"/>
              <w:rPr>
                <w:rFonts w:ascii="sans-serif" w:hAnsi="sans-serif"/>
                <w:color w:val="000000"/>
                <w:sz w:val="18"/>
              </w:rPr>
            </w:pPr>
            <w:r>
              <w:rPr>
                <w:rFonts w:ascii="sans-serif" w:hAnsi="sans-serif"/>
                <w:color w:val="000000"/>
                <w:sz w:val="18"/>
              </w:rPr>
              <w:t>12,621,352</w:t>
            </w:r>
          </w:p>
        </w:tc>
        <w:tc>
          <w:tcPr>
            <w:tcW w:w="3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6" w:type="dxa"/>
            <w:tcBorders/>
            <w:tcMar>
              <w:top w:w="0" w:type="dxa"/>
              <w:left w:w="0" w:type="dxa"/>
              <w:bottom w:w="0" w:type="dxa"/>
              <w:right w:w="0" w:type="dxa"/>
            </w:tcMar>
            <w:vAlign w:val="center"/>
          </w:tcPr>
          <w:p>
            <w:pPr>
              <w:pStyle w:val="TableContents"/>
              <w:bidi w:val="0"/>
              <w:spacing w:before="47" w:after="283"/>
              <w:ind w:left="0" w:right="0" w:firstLine="134"/>
              <w:jc w:val="right"/>
              <w:rPr>
                <w:rFonts w:ascii="sans-serif" w:hAnsi="sans-serif"/>
                <w:color w:val="000000"/>
                <w:sz w:val="18"/>
              </w:rPr>
            </w:pPr>
            <w:r>
              <w:rPr>
                <w:rFonts w:ascii="sans-serif" w:hAnsi="sans-serif"/>
                <w:color w:val="000000"/>
                <w:sz w:val="18"/>
              </w:rPr>
              <w:t>12,012,896</w:t>
            </w:r>
          </w:p>
        </w:tc>
      </w:tr>
      <w:tr>
        <w:trPr/>
        <w:tc>
          <w:tcPr>
            <w:tcW w:w="4958" w:type="dxa"/>
            <w:tcBorders/>
            <w:tcMar>
              <w:top w:w="0" w:type="dxa"/>
              <w:left w:w="0" w:type="dxa"/>
              <w:bottom w:w="0" w:type="dxa"/>
              <w:right w:w="0" w:type="dxa"/>
            </w:tcMar>
            <w:vAlign w:val="center"/>
          </w:tcPr>
          <w:p>
            <w:pPr>
              <w:pStyle w:val="TableContents"/>
              <w:bidi w:val="0"/>
              <w:spacing w:before="32" w:after="283"/>
              <w:ind w:left="0" w:right="0" w:firstLine="660"/>
              <w:jc w:val="left"/>
              <w:rPr>
                <w:rFonts w:ascii="sans-serif" w:hAnsi="sans-serif"/>
                <w:color w:val="000000"/>
                <w:sz w:val="18"/>
              </w:rPr>
            </w:pPr>
            <w:r>
              <w:rPr>
                <w:rFonts w:ascii="sans-serif" w:hAnsi="sans-serif"/>
                <w:color w:val="000000"/>
                <w:sz w:val="18"/>
              </w:rPr>
              <w:t>Sales and marketing</w:t>
            </w:r>
          </w:p>
        </w:tc>
        <w:tc>
          <w:tcPr>
            <w:tcW w:w="2545" w:type="dxa"/>
            <w:tcBorders/>
            <w:tcMar>
              <w:top w:w="0" w:type="dxa"/>
              <w:left w:w="0" w:type="dxa"/>
              <w:bottom w:w="0" w:type="dxa"/>
              <w:right w:w="0" w:type="dxa"/>
            </w:tcMar>
            <w:vAlign w:val="center"/>
          </w:tcPr>
          <w:p>
            <w:pPr>
              <w:pStyle w:val="TableContents"/>
              <w:bidi w:val="0"/>
              <w:spacing w:before="44" w:after="283"/>
              <w:ind w:left="0" w:right="0" w:firstLine="660"/>
              <w:jc w:val="right"/>
              <w:rPr>
                <w:rFonts w:ascii="sans-serif" w:hAnsi="sans-serif"/>
                <w:color w:val="000000"/>
                <w:sz w:val="18"/>
              </w:rPr>
            </w:pPr>
            <w:r>
              <w:rPr>
                <w:rFonts w:ascii="sans-serif" w:hAnsi="sans-serif"/>
                <w:color w:val="000000"/>
                <w:sz w:val="18"/>
              </w:rPr>
              <w:t>2,699,853</w:t>
            </w:r>
          </w:p>
        </w:tc>
        <w:tc>
          <w:tcPr>
            <w:tcW w:w="3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6" w:type="dxa"/>
            <w:tcBorders/>
            <w:tcMar>
              <w:top w:w="0" w:type="dxa"/>
              <w:left w:w="0" w:type="dxa"/>
              <w:bottom w:w="0" w:type="dxa"/>
              <w:right w:w="0" w:type="dxa"/>
            </w:tcMar>
            <w:vAlign w:val="center"/>
          </w:tcPr>
          <w:p>
            <w:pPr>
              <w:pStyle w:val="TableContents"/>
              <w:bidi w:val="0"/>
              <w:spacing w:before="44" w:after="283"/>
              <w:ind w:left="0" w:right="0" w:firstLine="134"/>
              <w:jc w:val="right"/>
              <w:rPr>
                <w:rFonts w:ascii="sans-serif" w:hAnsi="sans-serif"/>
                <w:color w:val="000000"/>
                <w:sz w:val="18"/>
              </w:rPr>
            </w:pPr>
            <w:r>
              <w:rPr>
                <w:rFonts w:ascii="sans-serif" w:hAnsi="sans-serif"/>
                <w:color w:val="000000"/>
                <w:sz w:val="18"/>
              </w:rPr>
              <w:t>2,740,973</w:t>
            </w:r>
          </w:p>
        </w:tc>
      </w:tr>
      <w:tr>
        <w:trPr/>
        <w:tc>
          <w:tcPr>
            <w:tcW w:w="4958" w:type="dxa"/>
            <w:tcBorders/>
            <w:tcMar>
              <w:top w:w="0" w:type="dxa"/>
              <w:left w:w="0" w:type="dxa"/>
              <w:bottom w:w="0" w:type="dxa"/>
              <w:right w:w="0" w:type="dxa"/>
            </w:tcMar>
            <w:vAlign w:val="center"/>
          </w:tcPr>
          <w:p>
            <w:pPr>
              <w:pStyle w:val="TableContents"/>
              <w:bidi w:val="0"/>
              <w:spacing w:before="2" w:after="283"/>
              <w:ind w:left="0" w:right="0" w:firstLine="134"/>
              <w:jc w:val="left"/>
              <w:rPr>
                <w:rFonts w:ascii="sans-serif" w:hAnsi="sans-serif"/>
                <w:color w:val="000000"/>
                <w:sz w:val="18"/>
              </w:rPr>
            </w:pPr>
            <w:r>
              <w:rPr>
                <w:rFonts w:ascii="sans-serif" w:hAnsi="sans-serif"/>
                <w:color w:val="000000"/>
                <w:sz w:val="18"/>
              </w:rPr>
              <w:t>General and administrative</w:t>
            </w:r>
          </w:p>
        </w:tc>
        <w:tc>
          <w:tcPr>
            <w:tcW w:w="2545" w:type="dxa"/>
            <w:tcBorders/>
            <w:tcMar>
              <w:top w:w="0" w:type="dxa"/>
              <w:left w:w="0" w:type="dxa"/>
              <w:bottom w:w="0" w:type="dxa"/>
              <w:right w:w="0" w:type="dxa"/>
            </w:tcMar>
            <w:vAlign w:val="center"/>
          </w:tcPr>
          <w:p>
            <w:pPr>
              <w:pStyle w:val="TableContents"/>
              <w:bidi w:val="0"/>
              <w:spacing w:before="71" w:after="283"/>
              <w:jc w:val="right"/>
              <w:rPr>
                <w:rFonts w:ascii="sans-serif" w:hAnsi="sans-serif"/>
                <w:color w:val="000000"/>
                <w:sz w:val="18"/>
                <w:u w:val="single"/>
              </w:rPr>
            </w:pPr>
            <w:r>
              <w:rPr>
                <w:rFonts w:ascii="sans-serif" w:hAnsi="sans-serif"/>
                <w:color w:val="000000"/>
                <w:sz w:val="18"/>
                <w:u w:val="single"/>
              </w:rPr>
              <w:t>12,570,988</w:t>
            </w:r>
          </w:p>
        </w:tc>
        <w:tc>
          <w:tcPr>
            <w:tcW w:w="3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6" w:type="dxa"/>
            <w:tcBorders/>
            <w:tcMar>
              <w:top w:w="0" w:type="dxa"/>
              <w:left w:w="0" w:type="dxa"/>
              <w:bottom w:w="0" w:type="dxa"/>
              <w:right w:w="0" w:type="dxa"/>
            </w:tcMar>
            <w:vAlign w:val="center"/>
          </w:tcPr>
          <w:p>
            <w:pPr>
              <w:pStyle w:val="TableContents"/>
              <w:bidi w:val="0"/>
              <w:spacing w:before="71" w:after="283"/>
              <w:ind w:left="0" w:right="0" w:firstLine="583"/>
              <w:jc w:val="right"/>
              <w:rPr>
                <w:rFonts w:ascii="sans-serif" w:hAnsi="sans-serif"/>
                <w:color w:val="000000"/>
                <w:sz w:val="18"/>
              </w:rPr>
            </w:pPr>
            <w:r>
              <w:rPr>
                <w:rFonts w:ascii="sans-serif" w:hAnsi="sans-serif"/>
                <w:color w:val="000000"/>
                <w:sz w:val="18"/>
              </w:rPr>
              <w:t>9,828,544</w:t>
            </w:r>
          </w:p>
        </w:tc>
      </w:tr>
      <w:tr>
        <w:trPr/>
        <w:tc>
          <w:tcPr>
            <w:tcW w:w="4958" w:type="dxa"/>
            <w:tcBorders/>
            <w:tcMar>
              <w:top w:w="0" w:type="dxa"/>
              <w:left w:w="0" w:type="dxa"/>
              <w:bottom w:w="0" w:type="dxa"/>
              <w:right w:w="0" w:type="dxa"/>
            </w:tcMar>
            <w:vAlign w:val="center"/>
          </w:tcPr>
          <w:p>
            <w:pPr>
              <w:pStyle w:val="TableContents"/>
              <w:bidi w:val="0"/>
              <w:spacing w:before="0" w:after="283"/>
              <w:ind w:left="0" w:right="0" w:firstLine="660"/>
              <w:jc w:val="left"/>
              <w:rPr>
                <w:rFonts w:ascii="sans-serif" w:hAnsi="sans-serif"/>
                <w:color w:val="000000"/>
                <w:sz w:val="18"/>
              </w:rPr>
            </w:pPr>
            <w:r>
              <w:rPr>
                <w:rFonts w:ascii="sans-serif" w:hAnsi="sans-serif"/>
                <w:color w:val="000000"/>
                <w:sz w:val="18"/>
              </w:rPr>
              <w:t>Total operating expenses</w:t>
            </w:r>
          </w:p>
        </w:tc>
        <w:tc>
          <w:tcPr>
            <w:tcW w:w="2545" w:type="dxa"/>
            <w:tcBorders>
              <w:bottom w:val="single" w:sz="4" w:space="0" w:color="000000"/>
            </w:tcBorders>
            <w:tcMar>
              <w:top w:w="0" w:type="dxa"/>
              <w:left w:w="0" w:type="dxa"/>
              <w:right w:w="0" w:type="dxa"/>
            </w:tcMar>
            <w:vAlign w:val="center"/>
          </w:tcPr>
          <w:p>
            <w:pPr>
              <w:pStyle w:val="TableContents"/>
              <w:bidi w:val="0"/>
              <w:spacing w:before="64" w:after="283"/>
              <w:ind w:left="0" w:right="0" w:firstLine="660"/>
              <w:jc w:val="right"/>
              <w:rPr>
                <w:rFonts w:ascii="sans-serif" w:hAnsi="sans-serif"/>
                <w:color w:val="000000"/>
                <w:sz w:val="18"/>
              </w:rPr>
            </w:pPr>
            <w:r>
              <w:rPr>
                <w:rFonts w:ascii="sans-serif" w:hAnsi="sans-serif"/>
                <w:color w:val="000000"/>
                <w:sz w:val="18"/>
              </w:rPr>
              <w:t>27,892,193</w:t>
            </w:r>
          </w:p>
        </w:tc>
        <w:tc>
          <w:tcPr>
            <w:tcW w:w="3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36" w:type="dxa"/>
            <w:tcBorders>
              <w:bottom w:val="single" w:sz="4" w:space="0" w:color="000000"/>
            </w:tcBorders>
            <w:tcMar>
              <w:top w:w="0" w:type="dxa"/>
              <w:left w:w="0" w:type="dxa"/>
              <w:right w:w="0" w:type="dxa"/>
            </w:tcMar>
            <w:vAlign w:val="center"/>
          </w:tcPr>
          <w:p>
            <w:pPr>
              <w:pStyle w:val="TableContents"/>
              <w:bidi w:val="0"/>
              <w:spacing w:before="64" w:after="283"/>
              <w:ind w:left="0" w:right="0" w:firstLine="33"/>
              <w:jc w:val="right"/>
              <w:rPr>
                <w:rFonts w:ascii="sans-serif" w:hAnsi="sans-serif"/>
                <w:color w:val="000000"/>
                <w:sz w:val="18"/>
              </w:rPr>
            </w:pPr>
            <w:r>
              <w:rPr>
                <w:rFonts w:ascii="sans-serif" w:hAnsi="sans-serif"/>
                <w:color w:val="000000"/>
                <w:sz w:val="18"/>
              </w:rPr>
              <w:t>24,582,413</w:t>
            </w:r>
          </w:p>
        </w:tc>
      </w:tr>
      <w:tr>
        <w:trPr/>
        <w:tc>
          <w:tcPr>
            <w:tcW w:w="4958" w:type="dxa"/>
            <w:tcBorders/>
            <w:tcMar>
              <w:top w:w="0" w:type="dxa"/>
              <w:left w:w="0" w:type="dxa"/>
              <w:bottom w:w="0" w:type="dxa"/>
              <w:right w:w="0" w:type="dxa"/>
            </w:tcMar>
            <w:vAlign w:val="center"/>
          </w:tcPr>
          <w:p>
            <w:pPr>
              <w:pStyle w:val="TableContents"/>
              <w:bidi w:val="0"/>
              <w:spacing w:before="39" w:after="283"/>
              <w:ind w:left="0" w:right="0" w:firstLine="660"/>
              <w:jc w:val="left"/>
              <w:rPr>
                <w:rFonts w:ascii="sans-serif" w:hAnsi="sans-serif"/>
                <w:color w:val="000000"/>
                <w:sz w:val="18"/>
              </w:rPr>
            </w:pPr>
            <w:r>
              <w:rPr>
                <w:rFonts w:ascii="sans-serif" w:hAnsi="sans-serif"/>
                <w:color w:val="000000"/>
                <w:sz w:val="18"/>
              </w:rPr>
              <w:t>INCOME FROM OPERATIONS</w:t>
            </w:r>
          </w:p>
        </w:tc>
        <w:tc>
          <w:tcPr>
            <w:tcW w:w="2545" w:type="dxa"/>
            <w:tcBorders>
              <w:bottom w:val="single" w:sz="4" w:space="0" w:color="000000"/>
            </w:tcBorders>
            <w:tcMar>
              <w:top w:w="0" w:type="dxa"/>
              <w:left w:w="0" w:type="dxa"/>
              <w:right w:w="0" w:type="dxa"/>
            </w:tcMar>
            <w:vAlign w:val="center"/>
          </w:tcPr>
          <w:p>
            <w:pPr>
              <w:pStyle w:val="TableContents"/>
              <w:bidi w:val="0"/>
              <w:spacing w:before="97" w:after="283"/>
              <w:ind w:left="0" w:right="0" w:firstLine="660"/>
              <w:jc w:val="right"/>
              <w:rPr>
                <w:rFonts w:ascii="sans-serif" w:hAnsi="sans-serif"/>
                <w:color w:val="000000"/>
                <w:sz w:val="18"/>
              </w:rPr>
            </w:pPr>
            <w:r>
              <w:rPr>
                <w:rFonts w:ascii="sans-serif" w:hAnsi="sans-serif"/>
                <w:color w:val="000000"/>
                <w:sz w:val="18"/>
              </w:rPr>
              <w:t>2,942,496</w:t>
            </w:r>
          </w:p>
        </w:tc>
        <w:tc>
          <w:tcPr>
            <w:tcW w:w="3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36" w:type="dxa"/>
            <w:tcBorders>
              <w:bottom w:val="single" w:sz="4" w:space="0" w:color="000000"/>
            </w:tcBorders>
            <w:tcMar>
              <w:top w:w="0" w:type="dxa"/>
              <w:left w:w="0" w:type="dxa"/>
              <w:right w:w="0" w:type="dxa"/>
            </w:tcMar>
            <w:vAlign w:val="center"/>
          </w:tcPr>
          <w:p>
            <w:pPr>
              <w:pStyle w:val="TableContents"/>
              <w:bidi w:val="0"/>
              <w:spacing w:before="97" w:after="283"/>
              <w:ind w:left="0" w:right="0" w:firstLine="33"/>
              <w:jc w:val="right"/>
              <w:rPr>
                <w:rFonts w:ascii="sans-serif" w:hAnsi="sans-serif"/>
                <w:color w:val="000000"/>
                <w:sz w:val="18"/>
              </w:rPr>
            </w:pPr>
            <w:r>
              <w:rPr>
                <w:rFonts w:ascii="sans-serif" w:hAnsi="sans-serif"/>
                <w:color w:val="000000"/>
                <w:sz w:val="18"/>
              </w:rPr>
              <w:t>(529,175)</w:t>
            </w:r>
          </w:p>
        </w:tc>
      </w:tr>
      <w:tr>
        <w:trPr/>
        <w:tc>
          <w:tcPr>
            <w:tcW w:w="4958" w:type="dxa"/>
            <w:tcBorders/>
            <w:tcMar>
              <w:top w:w="0" w:type="dxa"/>
              <w:left w:w="0" w:type="dxa"/>
              <w:bottom w:w="0" w:type="dxa"/>
              <w:right w:w="0" w:type="dxa"/>
            </w:tcMar>
            <w:vAlign w:val="center"/>
          </w:tcPr>
          <w:p>
            <w:pPr>
              <w:pStyle w:val="TableContents"/>
              <w:bidi w:val="0"/>
              <w:spacing w:before="87" w:after="283"/>
              <w:ind w:left="0" w:right="0" w:firstLine="33"/>
              <w:jc w:val="left"/>
              <w:rPr>
                <w:rFonts w:ascii="sans-serif" w:hAnsi="sans-serif"/>
                <w:color w:val="000000"/>
                <w:sz w:val="18"/>
              </w:rPr>
            </w:pPr>
            <w:r>
              <w:rPr>
                <w:rFonts w:ascii="sans-serif" w:hAnsi="sans-serif"/>
                <w:color w:val="000000"/>
                <w:sz w:val="18"/>
              </w:rPr>
              <w:t>OTHER EXPENSE:</w:t>
            </w:r>
          </w:p>
        </w:tc>
        <w:tc>
          <w:tcPr>
            <w:tcW w:w="2545" w:type="dxa"/>
            <w:tcBorders/>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6" w:type="dxa"/>
            <w:tcBorders/>
            <w:tcMar>
              <w:top w:w="0" w:type="dxa"/>
              <w:left w:w="0" w:type="dxa"/>
              <w:bottom w:w="0" w:type="dxa"/>
              <w:right w:w="0" w:type="dxa"/>
            </w:tcMar>
            <w:vAlign w:val="center"/>
          </w:tcPr>
          <w:p>
            <w:pPr>
              <w:pStyle w:val="TableContents"/>
              <w:bidi w:val="0"/>
              <w:spacing w:before="0" w:after="283"/>
              <w:ind w:left="0" w:right="0" w:firstLine="134"/>
              <w:jc w:val="right"/>
              <w:rPr/>
            </w:pPr>
            <w:r>
              <w:rPr/>
              <w:t> </w:t>
            </w:r>
          </w:p>
        </w:tc>
      </w:tr>
      <w:tr>
        <w:trPr/>
        <w:tc>
          <w:tcPr>
            <w:tcW w:w="4958" w:type="dxa"/>
            <w:tcBorders/>
            <w:tcMar>
              <w:top w:w="0" w:type="dxa"/>
              <w:left w:w="0" w:type="dxa"/>
              <w:bottom w:w="0" w:type="dxa"/>
              <w:right w:w="0" w:type="dxa"/>
            </w:tcMar>
            <w:vAlign w:val="center"/>
          </w:tcPr>
          <w:p>
            <w:pPr>
              <w:pStyle w:val="TableContents"/>
              <w:bidi w:val="0"/>
              <w:spacing w:before="37" w:after="283"/>
              <w:ind w:left="0" w:right="0" w:firstLine="888"/>
              <w:jc w:val="left"/>
              <w:rPr>
                <w:rFonts w:ascii="sans-serif" w:hAnsi="sans-serif"/>
                <w:color w:val="000000"/>
                <w:sz w:val="18"/>
              </w:rPr>
            </w:pPr>
            <w:r>
              <w:rPr>
                <w:rFonts w:ascii="sans-serif" w:hAnsi="sans-serif"/>
                <w:color w:val="000000"/>
                <w:sz w:val="18"/>
              </w:rPr>
              <w:t>Interest expense</w:t>
            </w:r>
          </w:p>
        </w:tc>
        <w:tc>
          <w:tcPr>
            <w:tcW w:w="2545" w:type="dxa"/>
            <w:tcBorders/>
            <w:tcMar>
              <w:top w:w="0" w:type="dxa"/>
              <w:left w:w="0" w:type="dxa"/>
              <w:bottom w:w="0" w:type="dxa"/>
              <w:right w:w="0" w:type="dxa"/>
            </w:tcMar>
            <w:vAlign w:val="center"/>
          </w:tcPr>
          <w:p>
            <w:pPr>
              <w:pStyle w:val="TableContents"/>
              <w:bidi w:val="0"/>
              <w:spacing w:before="49" w:after="283"/>
              <w:ind w:left="0" w:right="0" w:firstLine="888"/>
              <w:jc w:val="right"/>
              <w:rPr>
                <w:rFonts w:ascii="sans-serif" w:hAnsi="sans-serif"/>
                <w:color w:val="000000"/>
                <w:sz w:val="18"/>
              </w:rPr>
            </w:pPr>
            <w:r>
              <w:rPr>
                <w:rFonts w:ascii="sans-serif" w:hAnsi="sans-serif"/>
                <w:color w:val="000000"/>
                <w:sz w:val="18"/>
              </w:rPr>
              <w:t>124,572</w:t>
            </w:r>
          </w:p>
        </w:tc>
        <w:tc>
          <w:tcPr>
            <w:tcW w:w="3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6" w:type="dxa"/>
            <w:tcBorders/>
            <w:tcMar>
              <w:top w:w="0" w:type="dxa"/>
              <w:left w:w="0" w:type="dxa"/>
              <w:bottom w:w="0" w:type="dxa"/>
              <w:right w:w="0" w:type="dxa"/>
            </w:tcMar>
            <w:vAlign w:val="center"/>
          </w:tcPr>
          <w:p>
            <w:pPr>
              <w:pStyle w:val="TableContents"/>
              <w:bidi w:val="0"/>
              <w:spacing w:before="49" w:after="283"/>
              <w:ind w:left="0" w:right="0" w:firstLine="134"/>
              <w:jc w:val="right"/>
              <w:rPr>
                <w:rFonts w:ascii="sans-serif" w:hAnsi="sans-serif"/>
                <w:color w:val="000000"/>
                <w:sz w:val="18"/>
              </w:rPr>
            </w:pPr>
            <w:r>
              <w:rPr>
                <w:rFonts w:ascii="sans-serif" w:hAnsi="sans-serif"/>
                <w:color w:val="000000"/>
                <w:sz w:val="18"/>
              </w:rPr>
              <w:t>214,813</w:t>
            </w:r>
          </w:p>
        </w:tc>
      </w:tr>
      <w:tr>
        <w:trPr/>
        <w:tc>
          <w:tcPr>
            <w:tcW w:w="4958" w:type="dxa"/>
            <w:tcBorders/>
            <w:tcMar>
              <w:top w:w="0" w:type="dxa"/>
              <w:left w:w="0" w:type="dxa"/>
              <w:bottom w:w="0" w:type="dxa"/>
              <w:right w:w="0" w:type="dxa"/>
            </w:tcMar>
            <w:vAlign w:val="center"/>
          </w:tcPr>
          <w:p>
            <w:pPr>
              <w:pStyle w:val="TableContents"/>
              <w:bidi w:val="0"/>
              <w:spacing w:before="33" w:after="283"/>
              <w:ind w:left="0" w:right="0" w:firstLine="962"/>
              <w:jc w:val="left"/>
              <w:rPr>
                <w:rFonts w:ascii="sans-serif" w:hAnsi="sans-serif"/>
                <w:color w:val="000000"/>
                <w:sz w:val="18"/>
              </w:rPr>
            </w:pPr>
            <w:r>
              <w:rPr>
                <w:rFonts w:ascii="sans-serif" w:hAnsi="sans-serif"/>
                <w:color w:val="000000"/>
                <w:sz w:val="18"/>
              </w:rPr>
              <w:t>Foreign exchange loss</w:t>
            </w:r>
          </w:p>
        </w:tc>
        <w:tc>
          <w:tcPr>
            <w:tcW w:w="2545" w:type="dxa"/>
            <w:tcBorders/>
            <w:tcMar>
              <w:top w:w="0" w:type="dxa"/>
              <w:left w:w="0" w:type="dxa"/>
              <w:bottom w:w="0" w:type="dxa"/>
              <w:right w:w="0" w:type="dxa"/>
            </w:tcMar>
            <w:vAlign w:val="center"/>
          </w:tcPr>
          <w:p>
            <w:pPr>
              <w:pStyle w:val="TableContents"/>
              <w:bidi w:val="0"/>
              <w:spacing w:before="42" w:after="283"/>
              <w:ind w:left="0" w:right="0" w:firstLine="962"/>
              <w:jc w:val="right"/>
              <w:rPr>
                <w:rFonts w:ascii="sans-serif" w:hAnsi="sans-serif"/>
                <w:color w:val="000000"/>
                <w:sz w:val="18"/>
              </w:rPr>
            </w:pPr>
            <w:r>
              <w:rPr>
                <w:rFonts w:ascii="sans-serif" w:hAnsi="sans-serif"/>
                <w:color w:val="000000"/>
                <w:sz w:val="18"/>
              </w:rPr>
              <w:t>231,016</w:t>
            </w:r>
          </w:p>
        </w:tc>
        <w:tc>
          <w:tcPr>
            <w:tcW w:w="3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6" w:type="dxa"/>
            <w:tcBorders/>
            <w:tcMar>
              <w:top w:w="0" w:type="dxa"/>
              <w:left w:w="0" w:type="dxa"/>
              <w:bottom w:w="0" w:type="dxa"/>
              <w:right w:w="0" w:type="dxa"/>
            </w:tcMar>
            <w:vAlign w:val="center"/>
          </w:tcPr>
          <w:p>
            <w:pPr>
              <w:pStyle w:val="TableContents"/>
              <w:bidi w:val="0"/>
              <w:spacing w:before="43" w:after="283"/>
              <w:ind w:left="0" w:right="0" w:firstLine="134"/>
              <w:jc w:val="right"/>
              <w:rPr>
                <w:rFonts w:ascii="sans-serif" w:hAnsi="sans-serif"/>
                <w:color w:val="000000"/>
                <w:sz w:val="18"/>
              </w:rPr>
            </w:pPr>
            <w:r>
              <w:rPr>
                <w:rFonts w:ascii="sans-serif" w:hAnsi="sans-serif"/>
                <w:color w:val="000000"/>
                <w:sz w:val="18"/>
              </w:rPr>
              <w:t>103,999</w:t>
            </w:r>
          </w:p>
        </w:tc>
      </w:tr>
      <w:tr>
        <w:trPr/>
        <w:tc>
          <w:tcPr>
            <w:tcW w:w="4958" w:type="dxa"/>
            <w:tcBorders/>
            <w:tcMar>
              <w:top w:w="0" w:type="dxa"/>
              <w:left w:w="0" w:type="dxa"/>
              <w:bottom w:w="0" w:type="dxa"/>
              <w:right w:w="0" w:type="dxa"/>
            </w:tcMar>
            <w:vAlign w:val="center"/>
          </w:tcPr>
          <w:p>
            <w:pPr>
              <w:pStyle w:val="TableContents"/>
              <w:bidi w:val="0"/>
              <w:spacing w:before="5" w:after="283"/>
              <w:ind w:left="0" w:right="0" w:firstLine="134"/>
              <w:jc w:val="left"/>
              <w:rPr>
                <w:rFonts w:ascii="sans-serif" w:hAnsi="sans-serif"/>
                <w:color w:val="000000"/>
                <w:sz w:val="18"/>
              </w:rPr>
            </w:pPr>
            <w:r>
              <w:rPr>
                <w:rFonts w:ascii="sans-serif" w:hAnsi="sans-serif"/>
                <w:color w:val="000000"/>
                <w:sz w:val="18"/>
              </w:rPr>
              <w:t>Other</w:t>
            </w:r>
          </w:p>
        </w:tc>
        <w:tc>
          <w:tcPr>
            <w:tcW w:w="2545" w:type="dxa"/>
            <w:tcBorders>
              <w:bottom w:val="single" w:sz="4" w:space="0" w:color="000000"/>
            </w:tcBorders>
            <w:tcMar>
              <w:top w:w="0" w:type="dxa"/>
              <w:left w:w="0" w:type="dxa"/>
              <w:right w:w="0" w:type="dxa"/>
            </w:tcMar>
            <w:vAlign w:val="center"/>
          </w:tcPr>
          <w:p>
            <w:pPr>
              <w:pStyle w:val="TableContents"/>
              <w:bidi w:val="0"/>
              <w:spacing w:before="73" w:after="283"/>
              <w:jc w:val="right"/>
              <w:rPr>
                <w:rFonts w:ascii="sans-serif" w:hAnsi="sans-serif"/>
                <w:color w:val="000000"/>
                <w:sz w:val="18"/>
              </w:rPr>
            </w:pPr>
            <w:r>
              <w:rPr>
                <w:rFonts w:ascii="sans-serif" w:hAnsi="sans-serif"/>
                <w:color w:val="000000"/>
                <w:sz w:val="18"/>
              </w:rPr>
              <w:t>-</w:t>
            </w:r>
          </w:p>
        </w:tc>
        <w:tc>
          <w:tcPr>
            <w:tcW w:w="3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36" w:type="dxa"/>
            <w:tcBorders>
              <w:bottom w:val="single" w:sz="4" w:space="0" w:color="000000"/>
            </w:tcBorders>
            <w:tcMar>
              <w:top w:w="0" w:type="dxa"/>
              <w:left w:w="0" w:type="dxa"/>
              <w:right w:w="0" w:type="dxa"/>
            </w:tcMar>
            <w:vAlign w:val="center"/>
          </w:tcPr>
          <w:p>
            <w:pPr>
              <w:pStyle w:val="TableContents"/>
              <w:bidi w:val="0"/>
              <w:spacing w:before="73" w:after="283"/>
              <w:ind w:left="0" w:right="0" w:firstLine="583"/>
              <w:jc w:val="right"/>
              <w:rPr>
                <w:rFonts w:ascii="sans-serif" w:hAnsi="sans-serif"/>
                <w:color w:val="000000"/>
                <w:sz w:val="18"/>
              </w:rPr>
            </w:pPr>
            <w:r>
              <w:rPr>
                <w:rFonts w:ascii="sans-serif" w:hAnsi="sans-serif"/>
                <w:color w:val="000000"/>
                <w:sz w:val="18"/>
              </w:rPr>
              <w:t>-</w:t>
            </w:r>
          </w:p>
        </w:tc>
      </w:tr>
      <w:tr>
        <w:trPr/>
        <w:tc>
          <w:tcPr>
            <w:tcW w:w="4958" w:type="dxa"/>
            <w:tcBorders/>
            <w:tcMar>
              <w:top w:w="0" w:type="dxa"/>
              <w:left w:w="0" w:type="dxa"/>
              <w:bottom w:w="0" w:type="dxa"/>
              <w:right w:w="0" w:type="dxa"/>
            </w:tcMar>
            <w:vAlign w:val="center"/>
          </w:tcPr>
          <w:p>
            <w:pPr>
              <w:pStyle w:val="TableContents"/>
              <w:bidi w:val="0"/>
              <w:spacing w:before="30" w:after="283"/>
              <w:ind w:left="0" w:right="0" w:firstLine="888"/>
              <w:jc w:val="left"/>
              <w:rPr>
                <w:rFonts w:ascii="sans-serif" w:hAnsi="sans-serif"/>
                <w:color w:val="000000"/>
                <w:sz w:val="18"/>
              </w:rPr>
            </w:pPr>
            <w:r>
              <w:rPr>
                <w:rFonts w:ascii="sans-serif" w:hAnsi="sans-serif"/>
                <w:color w:val="000000"/>
                <w:sz w:val="18"/>
              </w:rPr>
              <w:t>Total other expense</w:t>
            </w:r>
          </w:p>
        </w:tc>
        <w:tc>
          <w:tcPr>
            <w:tcW w:w="2545" w:type="dxa"/>
            <w:tcBorders>
              <w:bottom w:val="single" w:sz="4" w:space="0" w:color="000000"/>
            </w:tcBorders>
            <w:tcMar>
              <w:top w:w="0" w:type="dxa"/>
              <w:left w:w="0" w:type="dxa"/>
              <w:right w:w="0" w:type="dxa"/>
            </w:tcMar>
            <w:vAlign w:val="center"/>
          </w:tcPr>
          <w:p>
            <w:pPr>
              <w:pStyle w:val="TableContents"/>
              <w:bidi w:val="0"/>
              <w:spacing w:before="97" w:after="283"/>
              <w:ind w:left="0" w:right="0" w:firstLine="888"/>
              <w:jc w:val="right"/>
              <w:rPr>
                <w:rFonts w:ascii="sans-serif" w:hAnsi="sans-serif"/>
                <w:color w:val="000000"/>
                <w:sz w:val="18"/>
              </w:rPr>
            </w:pPr>
            <w:r>
              <w:rPr>
                <w:rFonts w:ascii="sans-serif" w:hAnsi="sans-serif"/>
                <w:color w:val="000000"/>
                <w:sz w:val="18"/>
              </w:rPr>
              <w:t>355,588</w:t>
            </w:r>
          </w:p>
        </w:tc>
        <w:tc>
          <w:tcPr>
            <w:tcW w:w="3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36" w:type="dxa"/>
            <w:tcBorders>
              <w:bottom w:val="single" w:sz="4" w:space="0" w:color="000000"/>
            </w:tcBorders>
            <w:tcMar>
              <w:top w:w="0" w:type="dxa"/>
              <w:left w:w="0" w:type="dxa"/>
              <w:right w:w="0" w:type="dxa"/>
            </w:tcMar>
            <w:vAlign w:val="center"/>
          </w:tcPr>
          <w:p>
            <w:pPr>
              <w:pStyle w:val="TableContents"/>
              <w:bidi w:val="0"/>
              <w:spacing w:before="97" w:after="283"/>
              <w:ind w:left="0" w:right="0" w:firstLine="33"/>
              <w:jc w:val="right"/>
              <w:rPr>
                <w:rFonts w:ascii="sans-serif" w:hAnsi="sans-serif"/>
                <w:color w:val="000000"/>
                <w:sz w:val="18"/>
              </w:rPr>
            </w:pPr>
            <w:r>
              <w:rPr>
                <w:rFonts w:ascii="sans-serif" w:hAnsi="sans-serif"/>
                <w:color w:val="000000"/>
                <w:sz w:val="18"/>
              </w:rPr>
              <w:t>318,811</w:t>
            </w:r>
          </w:p>
        </w:tc>
      </w:tr>
      <w:tr>
        <w:trPr/>
        <w:tc>
          <w:tcPr>
            <w:tcW w:w="4958" w:type="dxa"/>
            <w:tcBorders/>
            <w:tcMar>
              <w:top w:w="0" w:type="dxa"/>
              <w:left w:w="0" w:type="dxa"/>
              <w:bottom w:w="0" w:type="dxa"/>
              <w:right w:w="0" w:type="dxa"/>
            </w:tcMar>
            <w:vAlign w:val="center"/>
          </w:tcPr>
          <w:p>
            <w:pPr>
              <w:pStyle w:val="TableContents"/>
              <w:bidi w:val="0"/>
              <w:spacing w:before="39" w:after="283"/>
              <w:ind w:left="0" w:right="0" w:firstLine="660"/>
              <w:jc w:val="left"/>
              <w:rPr>
                <w:rFonts w:ascii="sans-serif" w:hAnsi="sans-serif"/>
                <w:color w:val="000000"/>
                <w:sz w:val="18"/>
              </w:rPr>
            </w:pPr>
            <w:r>
              <w:rPr>
                <w:rFonts w:ascii="sans-serif" w:hAnsi="sans-serif"/>
                <w:color w:val="000000"/>
                <w:sz w:val="18"/>
              </w:rPr>
              <w:t>INCOME BEFORE INCOME TAXES</w:t>
            </w:r>
          </w:p>
        </w:tc>
        <w:tc>
          <w:tcPr>
            <w:tcW w:w="2545" w:type="dxa"/>
            <w:tcBorders/>
            <w:tcMar>
              <w:top w:w="0" w:type="dxa"/>
              <w:left w:w="0" w:type="dxa"/>
              <w:bottom w:w="0" w:type="dxa"/>
              <w:right w:w="0" w:type="dxa"/>
            </w:tcMar>
            <w:vAlign w:val="center"/>
          </w:tcPr>
          <w:p>
            <w:pPr>
              <w:pStyle w:val="TableContents"/>
              <w:bidi w:val="0"/>
              <w:spacing w:before="97" w:after="283"/>
              <w:ind w:left="0" w:right="0" w:firstLine="660"/>
              <w:jc w:val="right"/>
              <w:rPr>
                <w:rFonts w:ascii="sans-serif" w:hAnsi="sans-serif"/>
                <w:color w:val="000000"/>
                <w:sz w:val="18"/>
              </w:rPr>
            </w:pPr>
            <w:r>
              <w:rPr>
                <w:rFonts w:ascii="sans-serif" w:hAnsi="sans-serif"/>
                <w:color w:val="000000"/>
                <w:sz w:val="18"/>
              </w:rPr>
              <w:t>2,586,908</w:t>
            </w:r>
          </w:p>
        </w:tc>
        <w:tc>
          <w:tcPr>
            <w:tcW w:w="3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6" w:type="dxa"/>
            <w:tcBorders/>
            <w:tcMar>
              <w:top w:w="0" w:type="dxa"/>
              <w:left w:w="0" w:type="dxa"/>
              <w:bottom w:w="0" w:type="dxa"/>
              <w:right w:w="0" w:type="dxa"/>
            </w:tcMar>
            <w:vAlign w:val="center"/>
          </w:tcPr>
          <w:p>
            <w:pPr>
              <w:pStyle w:val="TableContents"/>
              <w:bidi w:val="0"/>
              <w:spacing w:before="97" w:after="283"/>
              <w:ind w:left="0" w:right="0" w:firstLine="33"/>
              <w:jc w:val="right"/>
              <w:rPr>
                <w:rFonts w:ascii="sans-serif" w:hAnsi="sans-serif"/>
                <w:color w:val="000000"/>
                <w:sz w:val="18"/>
              </w:rPr>
            </w:pPr>
            <w:r>
              <w:rPr>
                <w:rFonts w:ascii="sans-serif" w:hAnsi="sans-serif"/>
                <w:color w:val="000000"/>
                <w:sz w:val="18"/>
              </w:rPr>
              <w:t>(847,986)</w:t>
            </w:r>
          </w:p>
        </w:tc>
      </w:tr>
      <w:tr>
        <w:trPr/>
        <w:tc>
          <w:tcPr>
            <w:tcW w:w="4958" w:type="dxa"/>
            <w:tcBorders/>
            <w:tcMar>
              <w:top w:w="0" w:type="dxa"/>
              <w:left w:w="0" w:type="dxa"/>
              <w:bottom w:w="0" w:type="dxa"/>
              <w:right w:w="0" w:type="dxa"/>
            </w:tcMar>
            <w:vAlign w:val="center"/>
          </w:tcPr>
          <w:p>
            <w:pPr>
              <w:pStyle w:val="TableContents"/>
              <w:bidi w:val="0"/>
              <w:spacing w:before="9" w:after="283"/>
              <w:ind w:left="0" w:right="0" w:firstLine="643"/>
              <w:jc w:val="left"/>
              <w:rPr>
                <w:rFonts w:ascii="sans-serif" w:hAnsi="sans-serif"/>
                <w:color w:val="000000"/>
                <w:sz w:val="18"/>
              </w:rPr>
            </w:pPr>
            <w:r>
              <w:rPr>
                <w:rFonts w:ascii="sans-serif" w:hAnsi="sans-serif"/>
                <w:color w:val="000000"/>
                <w:sz w:val="18"/>
              </w:rPr>
              <w:t>INCOME TAX EXPENSE</w:t>
            </w:r>
          </w:p>
        </w:tc>
        <w:tc>
          <w:tcPr>
            <w:tcW w:w="2545" w:type="dxa"/>
            <w:tcBorders>
              <w:bottom w:val="single" w:sz="4" w:space="0" w:color="000000"/>
            </w:tcBorders>
            <w:tcMar>
              <w:top w:w="0" w:type="dxa"/>
              <w:left w:w="0" w:type="dxa"/>
              <w:right w:w="0" w:type="dxa"/>
            </w:tcMar>
            <w:vAlign w:val="center"/>
          </w:tcPr>
          <w:p>
            <w:pPr>
              <w:pStyle w:val="TableContents"/>
              <w:bidi w:val="0"/>
              <w:spacing w:before="67" w:after="283"/>
              <w:ind w:left="0" w:right="0" w:firstLine="643"/>
              <w:jc w:val="right"/>
              <w:rPr>
                <w:rFonts w:ascii="sans-serif" w:hAnsi="sans-serif"/>
                <w:color w:val="000000"/>
                <w:sz w:val="18"/>
              </w:rPr>
            </w:pPr>
            <w:r>
              <w:rPr>
                <w:rFonts w:ascii="sans-serif" w:hAnsi="sans-serif"/>
                <w:color w:val="000000"/>
                <w:sz w:val="18"/>
              </w:rPr>
              <w:t>(703,291)</w:t>
            </w:r>
          </w:p>
        </w:tc>
        <w:tc>
          <w:tcPr>
            <w:tcW w:w="3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36" w:type="dxa"/>
            <w:tcBorders>
              <w:bottom w:val="single" w:sz="4" w:space="0" w:color="000000"/>
            </w:tcBorders>
            <w:tcMar>
              <w:top w:w="0" w:type="dxa"/>
              <w:left w:w="0" w:type="dxa"/>
              <w:right w:w="0" w:type="dxa"/>
            </w:tcMar>
            <w:vAlign w:val="center"/>
          </w:tcPr>
          <w:p>
            <w:pPr>
              <w:pStyle w:val="TableContents"/>
              <w:bidi w:val="0"/>
              <w:spacing w:before="67" w:after="283"/>
              <w:ind w:left="0" w:right="0" w:firstLine="33"/>
              <w:jc w:val="right"/>
              <w:rPr>
                <w:rFonts w:ascii="sans-serif" w:hAnsi="sans-serif"/>
                <w:color w:val="000000"/>
                <w:sz w:val="18"/>
              </w:rPr>
            </w:pPr>
            <w:r>
              <w:rPr>
                <w:rFonts w:ascii="sans-serif" w:hAnsi="sans-serif"/>
                <w:color w:val="000000"/>
                <w:sz w:val="18"/>
              </w:rPr>
              <w:t>196,255</w:t>
            </w:r>
          </w:p>
        </w:tc>
      </w:tr>
      <w:tr>
        <w:trPr/>
        <w:tc>
          <w:tcPr>
            <w:tcW w:w="4958" w:type="dxa"/>
            <w:tcBorders/>
            <w:tcMar>
              <w:top w:w="0" w:type="dxa"/>
              <w:left w:w="0" w:type="dxa"/>
              <w:bottom w:w="0" w:type="dxa"/>
              <w:right w:w="0" w:type="dxa"/>
            </w:tcMar>
            <w:vAlign w:val="center"/>
          </w:tcPr>
          <w:p>
            <w:pPr>
              <w:pStyle w:val="TableContents"/>
              <w:bidi w:val="0"/>
              <w:spacing w:before="20" w:after="283"/>
              <w:ind w:left="0" w:right="0" w:firstLine="449"/>
              <w:jc w:val="left"/>
              <w:rPr>
                <w:rFonts w:ascii="sans-serif" w:hAnsi="sans-serif"/>
                <w:color w:val="000000"/>
                <w:sz w:val="18"/>
              </w:rPr>
            </w:pPr>
            <w:r>
              <w:rPr>
                <w:rFonts w:ascii="sans-serif" w:hAnsi="sans-serif"/>
                <w:color w:val="000000"/>
                <w:sz w:val="18"/>
              </w:rPr>
              <w:t>NET INCOME</w:t>
            </w:r>
          </w:p>
        </w:tc>
        <w:tc>
          <w:tcPr>
            <w:tcW w:w="2545" w:type="dxa"/>
            <w:tcBorders>
              <w:bottom w:val="double" w:sz="4" w:space="0" w:color="000000"/>
            </w:tcBorders>
            <w:tcMar>
              <w:top w:w="0" w:type="dxa"/>
              <w:left w:w="0" w:type="dxa"/>
              <w:right w:w="0" w:type="dxa"/>
            </w:tcMar>
            <w:vAlign w:val="center"/>
          </w:tcPr>
          <w:p>
            <w:pPr>
              <w:pStyle w:val="TableContents"/>
              <w:bidi w:val="0"/>
              <w:spacing w:before="92" w:after="283"/>
              <w:ind w:left="0" w:right="0" w:firstLine="449"/>
              <w:jc w:val="right"/>
              <w:rPr>
                <w:rFonts w:ascii="sans-serif" w:hAnsi="sans-serif"/>
                <w:color w:val="000000"/>
                <w:sz w:val="18"/>
              </w:rPr>
            </w:pPr>
            <w:r>
              <w:rPr>
                <w:rFonts w:ascii="sans-serif" w:hAnsi="sans-serif"/>
                <w:color w:val="000000"/>
                <w:sz w:val="18"/>
              </w:rPr>
              <w:t>$1,883,617</w:t>
            </w:r>
          </w:p>
        </w:tc>
        <w:tc>
          <w:tcPr>
            <w:tcW w:w="36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336" w:type="dxa"/>
            <w:tcBorders>
              <w:bottom w:val="double" w:sz="4" w:space="0" w:color="000000"/>
            </w:tcBorders>
            <w:tcMar>
              <w:top w:w="0" w:type="dxa"/>
              <w:left w:w="0" w:type="dxa"/>
              <w:right w:w="0" w:type="dxa"/>
            </w:tcMar>
            <w:vAlign w:val="center"/>
          </w:tcPr>
          <w:p>
            <w:pPr>
              <w:pStyle w:val="TableContents"/>
              <w:bidi w:val="0"/>
              <w:spacing w:before="92" w:after="283"/>
              <w:jc w:val="right"/>
              <w:rPr>
                <w:rFonts w:ascii="sans-serif" w:hAnsi="sans-serif"/>
                <w:color w:val="000000"/>
                <w:sz w:val="18"/>
              </w:rPr>
            </w:pPr>
            <w:r>
              <w:rPr>
                <w:rFonts w:ascii="sans-serif" w:hAnsi="sans-serif"/>
                <w:color w:val="000000"/>
                <w:sz w:val="18"/>
              </w:rPr>
              <w:t>$(651,730)</w:t>
            </w:r>
          </w:p>
        </w:tc>
      </w:tr>
      <w:tr>
        <w:trPr/>
        <w:tc>
          <w:tcPr>
            <w:tcW w:w="10205" w:type="dxa"/>
            <w:gridSpan w:val="4"/>
            <w:tcBorders/>
            <w:tcMar>
              <w:top w:w="0" w:type="dxa"/>
              <w:left w:w="0" w:type="dxa"/>
              <w:bottom w:w="0" w:type="dxa"/>
              <w:right w:w="0" w:type="dxa"/>
            </w:tcMar>
            <w:vAlign w:val="center"/>
          </w:tcPr>
          <w:p>
            <w:pPr>
              <w:pStyle w:val="TableContents"/>
              <w:bidi w:val="0"/>
              <w:spacing w:before="189" w:after="283"/>
              <w:jc w:val="left"/>
              <w:rPr/>
            </w:pPr>
            <w:r>
              <w:rPr/>
              <w:t> </w:t>
            </w:r>
          </w:p>
          <w:p>
            <w:pPr>
              <w:pStyle w:val="TableContents"/>
              <w:bidi w:val="0"/>
              <w:spacing w:before="0" w:after="283"/>
              <w:jc w:val="left"/>
              <w:rPr>
                <w:rFonts w:ascii="sans-serif" w:hAnsi="sans-serif"/>
                <w:color w:val="000000"/>
                <w:sz w:val="18"/>
              </w:rPr>
            </w:pPr>
            <w:r>
              <w:rPr>
                <w:rFonts w:ascii="sans-serif" w:hAnsi="sans-serif"/>
                <w:color w:val="000000"/>
                <w:sz w:val="18"/>
              </w:rPr>
              <w:t>The accompanying notes are an integral part of these condensed combined and consolidated financial statements.</w:t>
            </w:r>
          </w:p>
        </w:tc>
      </w:tr>
    </w:tbl>
    <w:p>
      <w:pPr>
        <w:pStyle w:val="TextBody"/>
        <w:bidi w:val="0"/>
        <w:jc w:val="left"/>
        <w:rPr/>
      </w:pPr>
      <w:r>
        <w:rPr/>
        <w:t>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16"/>
        <w:gridCol w:w="1279"/>
        <w:gridCol w:w="292"/>
        <w:gridCol w:w="1318"/>
      </w:tblGrid>
      <w:tr>
        <w:trPr/>
        <w:tc>
          <w:tcPr>
            <w:tcW w:w="731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ind w:left="0" w:right="0" w:firstLine="31"/>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ind w:left="0" w:right="0" w:firstLine="31"/>
              <w:jc w:val="left"/>
              <w:rPr>
                <w:rFonts w:ascii="sans-serif" w:hAnsi="sans-serif"/>
                <w:b/>
                <w:color w:val="000000"/>
                <w:sz w:val="23"/>
              </w:rPr>
            </w:pPr>
            <w:r>
              <w:rPr>
                <w:rFonts w:ascii="sans-serif" w:hAnsi="sans-serif"/>
                <w:b/>
                <w:color w:val="000000"/>
                <w:sz w:val="23"/>
              </w:rPr>
              <w:t>KUBRA HOLDINGS, INC. AND SUBSIDIARIES, AND KUBRA DATA TRANSFER LTD.</w:t>
            </w:r>
          </w:p>
        </w:tc>
      </w:tr>
      <w:tr>
        <w:trPr/>
        <w:tc>
          <w:tcPr>
            <w:tcW w:w="10205" w:type="dxa"/>
            <w:gridSpan w:val="4"/>
            <w:tcBorders/>
            <w:tcMar>
              <w:top w:w="0" w:type="dxa"/>
              <w:left w:w="0" w:type="dxa"/>
              <w:bottom w:w="0" w:type="dxa"/>
              <w:right w:w="0" w:type="dxa"/>
            </w:tcMar>
            <w:vAlign w:val="center"/>
          </w:tcPr>
          <w:p>
            <w:pPr>
              <w:pStyle w:val="TableContents"/>
              <w:bidi w:val="0"/>
              <w:spacing w:before="117" w:after="283"/>
              <w:ind w:left="0" w:right="0" w:firstLine="31"/>
              <w:jc w:val="left"/>
              <w:rPr>
                <w:rFonts w:ascii="Times New Roman" w:hAnsi="Times New Roman"/>
                <w:sz w:val="23"/>
              </w:rPr>
            </w:pPr>
            <w:r>
              <w:rPr>
                <w:rFonts w:ascii="sans-serif" w:hAnsi="sans-serif"/>
                <w:b/>
                <w:color w:val="000000"/>
                <w:sz w:val="23"/>
              </w:rPr>
              <w:t>CONDENSED COMBINED AND CONSOLIDATED STATEMENTS OF COMPREHENSIVE INCOME</w:t>
            </w:r>
            <w:r>
              <w:rPr>
                <w:rFonts w:ascii="Times New Roman" w:hAnsi="Times New Roman"/>
                <w:color w:val="000000"/>
                <w:sz w:val="23"/>
              </w:rPr>
              <w:t xml:space="preserve"> </w:t>
            </w:r>
          </w:p>
        </w:tc>
      </w:tr>
      <w:tr>
        <w:trPr/>
        <w:tc>
          <w:tcPr>
            <w:tcW w:w="1020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23"/>
              </w:rPr>
            </w:pPr>
            <w:r>
              <w:rPr>
                <w:rFonts w:ascii="sans-serif" w:hAnsi="sans-serif"/>
                <w:b/>
                <w:color w:val="000000"/>
                <w:sz w:val="23"/>
              </w:rPr>
              <w:t>FOR THE THREE MONTHS ENDED MARCH 31, 2026 AND 2025 (UNAUDITED)</w:t>
            </w:r>
          </w:p>
        </w:tc>
      </w:tr>
      <w:tr>
        <w:trPr/>
        <w:tc>
          <w:tcPr>
            <w:tcW w:w="7316" w:type="dxa"/>
            <w:tcBorders/>
            <w:tcMar>
              <w:top w:w="0" w:type="dxa"/>
              <w:left w:w="0" w:type="dxa"/>
              <w:bottom w:w="0" w:type="dxa"/>
              <w:right w:w="0" w:type="dxa"/>
            </w:tcMar>
            <w:vAlign w:val="center"/>
          </w:tcPr>
          <w:p>
            <w:pPr>
              <w:pStyle w:val="TableContents"/>
              <w:bidi w:val="0"/>
              <w:spacing w:before="0" w:after="283"/>
              <w:ind w:left="0" w:right="0" w:firstLine="125"/>
              <w:jc w:val="left"/>
              <w:rPr/>
            </w:pPr>
            <w:r>
              <w:rPr/>
              <w:t> </w:t>
            </w:r>
          </w:p>
        </w:tc>
        <w:tc>
          <w:tcPr>
            <w:tcW w:w="1279" w:type="dxa"/>
            <w:tcBorders/>
            <w:tcMar>
              <w:top w:w="0" w:type="dxa"/>
              <w:left w:w="0" w:type="dxa"/>
              <w:bottom w:w="0" w:type="dxa"/>
              <w:right w:w="0" w:type="dxa"/>
            </w:tcMar>
            <w:vAlign w:val="center"/>
          </w:tcPr>
          <w:p>
            <w:pPr>
              <w:pStyle w:val="TableContents"/>
              <w:bidi w:val="0"/>
              <w:spacing w:before="1" w:after="283"/>
              <w:ind w:left="0" w:right="0" w:firstLine="125"/>
              <w:jc w:val="center"/>
              <w:rPr>
                <w:rFonts w:ascii="sans-serif" w:hAnsi="sans-serif"/>
                <w:b/>
                <w:color w:val="000000"/>
                <w:sz w:val="18"/>
              </w:rPr>
            </w:pPr>
            <w:r>
              <w:rPr>
                <w:rFonts w:ascii="sans-serif" w:hAnsi="sans-serif"/>
                <w:b/>
                <w:color w:val="000000"/>
                <w:sz w:val="18"/>
              </w:rPr>
              <w:t>2026</w:t>
            </w:r>
          </w:p>
        </w:tc>
        <w:tc>
          <w:tcPr>
            <w:tcW w:w="292" w:type="dxa"/>
            <w:tcBorders/>
            <w:tcMar>
              <w:top w:w="0" w:type="dxa"/>
              <w:left w:w="0" w:type="dxa"/>
              <w:bottom w:w="0" w:type="dxa"/>
              <w:right w:w="0" w:type="dxa"/>
            </w:tcMar>
            <w:vAlign w:val="center"/>
          </w:tcPr>
          <w:p>
            <w:pPr>
              <w:pStyle w:val="TableContents"/>
              <w:bidi w:val="0"/>
              <w:spacing w:before="0" w:after="283"/>
              <w:ind w:left="0" w:right="0" w:firstLine="125"/>
              <w:jc w:val="center"/>
              <w:rPr/>
            </w:pPr>
            <w:r>
              <w:rPr/>
              <w:t> </w:t>
            </w:r>
          </w:p>
        </w:tc>
        <w:tc>
          <w:tcPr>
            <w:tcW w:w="1318" w:type="dxa"/>
            <w:tcBorders/>
            <w:tcMar>
              <w:top w:w="0" w:type="dxa"/>
              <w:left w:w="0" w:type="dxa"/>
              <w:bottom w:w="0" w:type="dxa"/>
              <w:right w:w="0" w:type="dxa"/>
            </w:tcMar>
            <w:vAlign w:val="center"/>
          </w:tcPr>
          <w:p>
            <w:pPr>
              <w:pStyle w:val="TableContents"/>
              <w:bidi w:val="0"/>
              <w:spacing w:before="1" w:after="283"/>
              <w:ind w:left="0" w:right="0" w:firstLine="33"/>
              <w:jc w:val="center"/>
              <w:rPr>
                <w:rFonts w:ascii="sans-serif" w:hAnsi="sans-serif"/>
                <w:b/>
                <w:color w:val="000000"/>
                <w:sz w:val="18"/>
              </w:rPr>
            </w:pPr>
            <w:r>
              <w:rPr>
                <w:rFonts w:ascii="sans-serif" w:hAnsi="sans-serif"/>
                <w:b/>
                <w:color w:val="000000"/>
                <w:sz w:val="18"/>
              </w:rPr>
              <w:t>2025</w:t>
            </w:r>
          </w:p>
        </w:tc>
      </w:tr>
      <w:tr>
        <w:trPr/>
        <w:tc>
          <w:tcPr>
            <w:tcW w:w="7316" w:type="dxa"/>
            <w:tcBorders/>
            <w:tcMar>
              <w:top w:w="0" w:type="dxa"/>
              <w:left w:w="0" w:type="dxa"/>
              <w:bottom w:w="0" w:type="dxa"/>
              <w:right w:w="0" w:type="dxa"/>
            </w:tcMar>
            <w:vAlign w:val="center"/>
          </w:tcPr>
          <w:p>
            <w:pPr>
              <w:pStyle w:val="TableContents"/>
              <w:bidi w:val="0"/>
              <w:spacing w:before="182" w:after="283"/>
              <w:ind w:left="0" w:right="0" w:firstLine="33"/>
              <w:jc w:val="left"/>
              <w:rPr>
                <w:rFonts w:ascii="sans-serif" w:hAnsi="sans-serif"/>
                <w:color w:val="000000"/>
                <w:sz w:val="18"/>
              </w:rPr>
            </w:pPr>
            <w:r>
              <w:rPr>
                <w:rFonts w:ascii="sans-serif" w:hAnsi="sans-serif"/>
                <w:color w:val="000000"/>
                <w:sz w:val="18"/>
              </w:rPr>
              <w:t>NET INCOME</w:t>
            </w:r>
          </w:p>
        </w:tc>
        <w:tc>
          <w:tcPr>
            <w:tcW w:w="1279" w:type="dxa"/>
            <w:tcBorders/>
            <w:tcMar>
              <w:top w:w="0" w:type="dxa"/>
              <w:left w:w="0" w:type="dxa"/>
              <w:bottom w:w="0" w:type="dxa"/>
              <w:right w:w="0" w:type="dxa"/>
            </w:tcMar>
            <w:vAlign w:val="center"/>
          </w:tcPr>
          <w:p>
            <w:pPr>
              <w:pStyle w:val="TableContents"/>
              <w:bidi w:val="0"/>
              <w:spacing w:before="191" w:after="283"/>
              <w:jc w:val="right"/>
              <w:rPr>
                <w:rFonts w:ascii="sans-serif" w:hAnsi="sans-serif"/>
                <w:color w:val="000000"/>
                <w:sz w:val="18"/>
              </w:rPr>
            </w:pPr>
            <w:r>
              <w:rPr>
                <w:rFonts w:ascii="sans-serif" w:hAnsi="sans-serif"/>
                <w:color w:val="000000"/>
                <w:sz w:val="18"/>
              </w:rPr>
              <w:t>$1,883,617</w:t>
            </w:r>
          </w:p>
        </w:tc>
        <w:tc>
          <w:tcPr>
            <w:tcW w:w="292" w:type="dxa"/>
            <w:tcBorders/>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tcMar>
              <w:top w:w="0" w:type="dxa"/>
              <w:left w:w="0" w:type="dxa"/>
              <w:bottom w:w="0" w:type="dxa"/>
              <w:right w:w="0" w:type="dxa"/>
            </w:tcMar>
            <w:vAlign w:val="center"/>
          </w:tcPr>
          <w:p>
            <w:pPr>
              <w:pStyle w:val="TableContents"/>
              <w:bidi w:val="0"/>
              <w:spacing w:before="191" w:after="283"/>
              <w:ind w:left="0" w:right="0" w:firstLine="33"/>
              <w:jc w:val="right"/>
              <w:rPr>
                <w:rFonts w:ascii="sans-serif" w:hAnsi="sans-serif"/>
                <w:color w:val="000000"/>
                <w:sz w:val="18"/>
              </w:rPr>
            </w:pPr>
            <w:r>
              <w:rPr>
                <w:rFonts w:ascii="sans-serif" w:hAnsi="sans-serif"/>
                <w:color w:val="000000"/>
                <w:sz w:val="18"/>
              </w:rPr>
              <w:t>$(651,730)</w:t>
            </w:r>
          </w:p>
        </w:tc>
      </w:tr>
      <w:tr>
        <w:trPr/>
        <w:tc>
          <w:tcPr>
            <w:tcW w:w="7316" w:type="dxa"/>
            <w:tcBorders/>
            <w:tcMar>
              <w:top w:w="0" w:type="dxa"/>
              <w:left w:w="0" w:type="dxa"/>
              <w:bottom w:w="0" w:type="dxa"/>
              <w:right w:w="0" w:type="dxa"/>
            </w:tcMar>
            <w:vAlign w:val="center"/>
          </w:tcPr>
          <w:p>
            <w:pPr>
              <w:pStyle w:val="TableContents"/>
              <w:bidi w:val="0"/>
              <w:spacing w:before="73" w:after="283"/>
              <w:ind w:left="0" w:right="0" w:firstLine="33"/>
              <w:jc w:val="left"/>
              <w:rPr>
                <w:rFonts w:ascii="sans-serif" w:hAnsi="sans-serif"/>
                <w:color w:val="000000"/>
                <w:sz w:val="18"/>
              </w:rPr>
            </w:pPr>
            <w:r>
              <w:rPr>
                <w:rFonts w:ascii="sans-serif" w:hAnsi="sans-serif"/>
                <w:color w:val="000000"/>
                <w:sz w:val="18"/>
              </w:rPr>
              <w:t>OTHER COMPREHENSIVE (LOSS) INCOME – Foreign currency translation adjustments</w:t>
            </w:r>
          </w:p>
        </w:tc>
        <w:tc>
          <w:tcPr>
            <w:tcW w:w="1279" w:type="dxa"/>
            <w:tcBorders>
              <w:bottom w:val="single" w:sz="4" w:space="0" w:color="000000"/>
            </w:tcBorders>
            <w:tcMar>
              <w:top w:w="0" w:type="dxa"/>
              <w:left w:w="0" w:type="dxa"/>
              <w:right w:w="0" w:type="dxa"/>
            </w:tcMar>
            <w:vAlign w:val="center"/>
          </w:tcPr>
          <w:p>
            <w:pPr>
              <w:pStyle w:val="TableContents"/>
              <w:bidi w:val="0"/>
              <w:spacing w:before="46" w:after="283"/>
              <w:jc w:val="right"/>
              <w:rPr>
                <w:rFonts w:ascii="sans-serif" w:hAnsi="sans-serif"/>
                <w:color w:val="000000"/>
                <w:sz w:val="18"/>
              </w:rPr>
            </w:pPr>
            <w:r>
              <w:rPr>
                <w:rFonts w:ascii="sans-serif" w:hAnsi="sans-serif"/>
                <w:color w:val="000000"/>
                <w:sz w:val="18"/>
              </w:rPr>
              <w:t>(137,561)</w:t>
            </w:r>
          </w:p>
        </w:tc>
        <w:tc>
          <w:tcPr>
            <w:tcW w:w="2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18" w:type="dxa"/>
            <w:tcBorders>
              <w:bottom w:val="single" w:sz="4" w:space="0" w:color="000000"/>
            </w:tcBorders>
            <w:tcMar>
              <w:top w:w="0" w:type="dxa"/>
              <w:left w:w="0" w:type="dxa"/>
              <w:right w:w="0" w:type="dxa"/>
            </w:tcMar>
            <w:vAlign w:val="center"/>
          </w:tcPr>
          <w:p>
            <w:pPr>
              <w:pStyle w:val="TableContents"/>
              <w:bidi w:val="0"/>
              <w:spacing w:before="46" w:after="283"/>
              <w:ind w:left="0" w:right="0" w:firstLine="33"/>
              <w:jc w:val="right"/>
              <w:rPr>
                <w:rFonts w:ascii="sans-serif" w:hAnsi="sans-serif"/>
                <w:color w:val="000000"/>
                <w:sz w:val="18"/>
              </w:rPr>
            </w:pPr>
            <w:r>
              <w:rPr>
                <w:rFonts w:ascii="sans-serif" w:hAnsi="sans-serif"/>
                <w:color w:val="000000"/>
                <w:sz w:val="18"/>
              </w:rPr>
              <w:t>(822)</w:t>
            </w:r>
          </w:p>
        </w:tc>
      </w:tr>
      <w:tr>
        <w:trPr/>
        <w:tc>
          <w:tcPr>
            <w:tcW w:w="7316" w:type="dxa"/>
            <w:tcBorders/>
            <w:tcMar>
              <w:top w:w="0" w:type="dxa"/>
              <w:left w:w="0" w:type="dxa"/>
              <w:bottom w:w="0" w:type="dxa"/>
              <w:right w:w="0" w:type="dxa"/>
            </w:tcMar>
            <w:vAlign w:val="center"/>
          </w:tcPr>
          <w:p>
            <w:pPr>
              <w:pStyle w:val="TableContents"/>
              <w:bidi w:val="0"/>
              <w:spacing w:before="140" w:after="283"/>
              <w:ind w:left="0" w:right="0" w:firstLine="33"/>
              <w:jc w:val="left"/>
              <w:rPr>
                <w:rFonts w:ascii="sans-serif" w:hAnsi="sans-serif"/>
                <w:color w:val="000000"/>
                <w:sz w:val="18"/>
              </w:rPr>
            </w:pPr>
            <w:r>
              <w:rPr>
                <w:rFonts w:ascii="sans-serif" w:hAnsi="sans-serif"/>
                <w:color w:val="000000"/>
                <w:sz w:val="18"/>
              </w:rPr>
              <w:t>OTHER COMPREHENSIVE INCOME</w:t>
            </w:r>
          </w:p>
        </w:tc>
        <w:tc>
          <w:tcPr>
            <w:tcW w:w="1279" w:type="dxa"/>
            <w:tcBorders>
              <w:bottom w:val="double" w:sz="4" w:space="0" w:color="000000"/>
            </w:tcBorders>
            <w:tcMar>
              <w:top w:w="0" w:type="dxa"/>
              <w:left w:w="0" w:type="dxa"/>
              <w:right w:w="0" w:type="dxa"/>
            </w:tcMar>
            <w:vAlign w:val="center"/>
          </w:tcPr>
          <w:p>
            <w:pPr>
              <w:pStyle w:val="TableContents"/>
              <w:bidi w:val="0"/>
              <w:spacing w:before="111" w:after="283"/>
              <w:jc w:val="right"/>
              <w:rPr>
                <w:rFonts w:ascii="sans-serif" w:hAnsi="sans-serif"/>
                <w:color w:val="000000"/>
                <w:sz w:val="18"/>
              </w:rPr>
            </w:pPr>
            <w:r>
              <w:rPr>
                <w:rFonts w:ascii="sans-serif" w:hAnsi="sans-serif"/>
                <w:color w:val="000000"/>
                <w:sz w:val="18"/>
              </w:rPr>
              <w:t>$1,746,056</w:t>
            </w:r>
          </w:p>
        </w:tc>
        <w:tc>
          <w:tcPr>
            <w:tcW w:w="292"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318" w:type="dxa"/>
            <w:tcBorders>
              <w:bottom w:val="double" w:sz="4" w:space="0" w:color="000000"/>
            </w:tcBorders>
            <w:tcMar>
              <w:top w:w="0" w:type="dxa"/>
              <w:left w:w="0" w:type="dxa"/>
              <w:right w:w="0" w:type="dxa"/>
            </w:tcMar>
            <w:vAlign w:val="center"/>
          </w:tcPr>
          <w:p>
            <w:pPr>
              <w:pStyle w:val="TableContents"/>
              <w:bidi w:val="0"/>
              <w:spacing w:before="111" w:after="283"/>
              <w:jc w:val="right"/>
              <w:rPr>
                <w:rFonts w:ascii="sans-serif" w:hAnsi="sans-serif"/>
                <w:color w:val="000000"/>
                <w:sz w:val="18"/>
              </w:rPr>
            </w:pPr>
            <w:r>
              <w:rPr>
                <w:rFonts w:ascii="sans-serif" w:hAnsi="sans-serif"/>
                <w:color w:val="000000"/>
                <w:sz w:val="18"/>
              </w:rPr>
              <w:t>$(652,553)</w:t>
            </w:r>
          </w:p>
        </w:tc>
      </w:tr>
      <w:tr>
        <w:trPr/>
        <w:tc>
          <w:tcPr>
            <w:tcW w:w="10205" w:type="dxa"/>
            <w:gridSpan w:val="4"/>
            <w:tcBorders/>
            <w:tcMar>
              <w:top w:w="0" w:type="dxa"/>
              <w:left w:w="0" w:type="dxa"/>
              <w:bottom w:w="0" w:type="dxa"/>
              <w:right w:w="0" w:type="dxa"/>
            </w:tcMar>
            <w:vAlign w:val="center"/>
          </w:tcPr>
          <w:p>
            <w:pPr>
              <w:pStyle w:val="TableContents"/>
              <w:bidi w:val="0"/>
              <w:spacing w:before="107" w:after="283"/>
              <w:jc w:val="left"/>
              <w:rPr/>
            </w:pPr>
            <w:r>
              <w:rPr/>
              <w:t> </w:t>
            </w:r>
          </w:p>
          <w:p>
            <w:pPr>
              <w:pStyle w:val="TableContents"/>
              <w:bidi w:val="0"/>
              <w:spacing w:before="107" w:after="283"/>
              <w:jc w:val="left"/>
              <w:rPr/>
            </w:pPr>
            <w:r>
              <w:rPr/>
              <w:t> </w:t>
            </w:r>
          </w:p>
          <w:p>
            <w:pPr>
              <w:pStyle w:val="TableContents"/>
              <w:bidi w:val="0"/>
              <w:spacing w:before="0" w:after="283"/>
              <w:jc w:val="left"/>
              <w:rPr>
                <w:rFonts w:ascii="sans-serif" w:hAnsi="sans-serif"/>
                <w:color w:val="000000"/>
                <w:sz w:val="18"/>
              </w:rPr>
            </w:pPr>
            <w:r>
              <w:rPr>
                <w:rFonts w:ascii="sans-serif" w:hAnsi="sans-serif"/>
                <w:color w:val="000000"/>
                <w:sz w:val="18"/>
              </w:rPr>
              <w:t>The accompanying notes are an integral part of these condensed combined and consolidated financial statements.</w:t>
            </w:r>
          </w:p>
        </w:tc>
      </w:tr>
    </w:tbl>
    <w:p>
      <w:pPr>
        <w:pStyle w:val="TextBody"/>
        <w:bidi w:val="0"/>
        <w:jc w:val="left"/>
        <w:rPr/>
      </w:pPr>
      <w:r>
        <w:rPr/>
        <w:t>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59" w:after="283"/>
        <w:jc w:val="left"/>
        <w:rPr>
          <w:rFonts w:ascii="sans-serif" w:hAnsi="sans-serif"/>
          <w:b/>
          <w:color w:val="000000"/>
          <w:sz w:val="23"/>
        </w:rPr>
      </w:pPr>
      <w:r>
        <w:rPr>
          <w:rFonts w:ascii="sans-serif" w:hAnsi="sans-serif"/>
          <w:b/>
          <w:color w:val="000000"/>
          <w:sz w:val="23"/>
        </w:rPr>
        <w:t>KUBRA HOLDINGS, INC. AND SUBSIDIARIES, AND KUBRA DATA TRANSFER LTD.</w:t>
      </w:r>
    </w:p>
    <w:p>
      <w:pPr>
        <w:pStyle w:val="TextBody"/>
        <w:bidi w:val="0"/>
        <w:spacing w:before="240" w:after="283"/>
        <w:jc w:val="left"/>
        <w:rPr>
          <w:rFonts w:ascii="sans-serif" w:hAnsi="sans-serif"/>
          <w:b/>
          <w:color w:val="000000"/>
          <w:sz w:val="23"/>
        </w:rPr>
      </w:pPr>
      <w:r>
        <w:rPr>
          <w:rFonts w:ascii="sans-serif" w:hAnsi="sans-serif"/>
          <w:b/>
          <w:color w:val="000000"/>
          <w:sz w:val="23"/>
        </w:rPr>
        <w:t>CONDENSED COMBINED AND CONSOLIDATED STATEMENTS OF STOCKHOLDERS’ EQUITY FOR THE THREE MONTHS ENDED MARCH 31, 2026 AND 2025 (UNAUDITED)</w:t>
      </w:r>
    </w:p>
    <w:p>
      <w:pPr>
        <w:pStyle w:val="TextBody"/>
        <w:bidi w:val="0"/>
        <w:jc w:val="left"/>
        <w:rPr/>
      </w:pPr>
      <w:r>
        <w:rPr/>
        <w:t> </w:t>
      </w:r>
    </w:p>
    <w:tbl>
      <w:tblPr>
        <w:tblW w:w="11055" w:type="dxa"/>
        <w:jc w:val="left"/>
        <w:tblInd w:w="0" w:type="dxa"/>
        <w:tblLayout w:type="fixed"/>
        <w:tblCellMar>
          <w:top w:w="28" w:type="dxa"/>
          <w:left w:w="28" w:type="dxa"/>
          <w:bottom w:w="28" w:type="dxa"/>
          <w:right w:w="28" w:type="dxa"/>
        </w:tblCellMar>
      </w:tblPr>
      <w:tblGrid>
        <w:gridCol w:w="1611"/>
        <w:gridCol w:w="1826"/>
        <w:gridCol w:w="150"/>
        <w:gridCol w:w="1426"/>
        <w:gridCol w:w="1426"/>
        <w:gridCol w:w="280"/>
        <w:gridCol w:w="1830"/>
        <w:gridCol w:w="895"/>
        <w:gridCol w:w="1611"/>
      </w:tblGrid>
      <w:tr>
        <w:trPr/>
        <w:tc>
          <w:tcPr>
            <w:tcW w:w="1611"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1611" w:type="dxa"/>
            <w:tcBorders/>
            <w:tcMar>
              <w:top w:w="0" w:type="dxa"/>
              <w:left w:w="0" w:type="dxa"/>
              <w:bottom w:w="0" w:type="dxa"/>
              <w:right w:w="0" w:type="dxa"/>
            </w:tcMar>
            <w:vAlign w:val="center"/>
          </w:tcPr>
          <w:p>
            <w:pPr>
              <w:pStyle w:val="TableContents"/>
              <w:bidi w:val="0"/>
              <w:spacing w:before="0" w:after="283"/>
              <w:ind w:left="0" w:right="0" w:firstLine="820"/>
              <w:jc w:val="left"/>
              <w:rPr/>
            </w:pPr>
            <w:r>
              <w:rPr/>
              <w:t> </w:t>
            </w:r>
          </w:p>
        </w:tc>
        <w:tc>
          <w:tcPr>
            <w:tcW w:w="1826" w:type="dxa"/>
            <w:tcBorders/>
            <w:tcMar>
              <w:top w:w="0" w:type="dxa"/>
              <w:left w:w="0" w:type="dxa"/>
              <w:bottom w:w="0" w:type="dxa"/>
              <w:right w:w="0" w:type="dxa"/>
            </w:tcMar>
            <w:vAlign w:val="center"/>
          </w:tcPr>
          <w:p>
            <w:pPr>
              <w:pStyle w:val="TableContents"/>
              <w:bidi w:val="0"/>
              <w:spacing w:before="123" w:after="283"/>
              <w:ind w:left="0" w:right="0" w:firstLine="820"/>
              <w:jc w:val="center"/>
              <w:rPr>
                <w:rFonts w:ascii="sans-serif" w:hAnsi="sans-serif"/>
                <w:b/>
                <w:color w:val="000000"/>
                <w:sz w:val="18"/>
              </w:rPr>
            </w:pPr>
            <w:r>
              <w:rPr>
                <w:rFonts w:ascii="sans-serif" w:hAnsi="sans-serif"/>
                <w:b/>
                <w:color w:val="000000"/>
                <w:sz w:val="18"/>
              </w:rPr>
              <w:t>Common Stock</w:t>
            </w:r>
          </w:p>
        </w:tc>
        <w:tc>
          <w:tcPr>
            <w:tcW w:w="150" w:type="dxa"/>
            <w:tcBorders/>
            <w:tcMar>
              <w:top w:w="0" w:type="dxa"/>
              <w:left w:w="0" w:type="dxa"/>
              <w:bottom w:w="0" w:type="dxa"/>
              <w:right w:w="0" w:type="dxa"/>
            </w:tcMar>
            <w:vAlign w:val="center"/>
          </w:tcPr>
          <w:p>
            <w:pPr>
              <w:pStyle w:val="TableContents"/>
              <w:bidi w:val="0"/>
              <w:spacing w:before="0" w:after="283"/>
              <w:ind w:left="0" w:right="0" w:firstLine="4"/>
              <w:jc w:val="center"/>
              <w:rPr/>
            </w:pPr>
            <w:r>
              <w:rPr/>
              <w:t> </w:t>
            </w:r>
          </w:p>
        </w:tc>
        <w:tc>
          <w:tcPr>
            <w:tcW w:w="1426" w:type="dxa"/>
            <w:tcBorders/>
            <w:tcMar>
              <w:top w:w="0" w:type="dxa"/>
              <w:left w:w="0" w:type="dxa"/>
              <w:bottom w:w="0" w:type="dxa"/>
              <w:right w:w="0" w:type="dxa"/>
            </w:tcMar>
            <w:vAlign w:val="center"/>
          </w:tcPr>
          <w:p>
            <w:pPr>
              <w:pStyle w:val="TableContents"/>
              <w:bidi w:val="0"/>
              <w:ind w:left="0" w:right="0" w:firstLine="4"/>
              <w:jc w:val="center"/>
              <w:rPr>
                <w:rFonts w:ascii="sans-serif" w:hAnsi="sans-serif"/>
                <w:b/>
                <w:color w:val="000000"/>
                <w:sz w:val="18"/>
              </w:rPr>
            </w:pPr>
            <w:r>
              <w:rPr>
                <w:rFonts w:ascii="sans-serif" w:hAnsi="sans-serif"/>
                <w:b/>
                <w:color w:val="000000"/>
                <w:sz w:val="18"/>
              </w:rPr>
              <w:t>Additional Paid-in</w:t>
            </w:r>
          </w:p>
          <w:p>
            <w:pPr>
              <w:pStyle w:val="TableContents"/>
              <w:bidi w:val="0"/>
              <w:spacing w:before="1" w:after="283"/>
              <w:ind w:left="0" w:right="0" w:firstLine="396"/>
              <w:jc w:val="center"/>
              <w:rPr>
                <w:rFonts w:ascii="sans-serif" w:hAnsi="sans-serif"/>
                <w:b/>
                <w:color w:val="000000"/>
                <w:sz w:val="18"/>
              </w:rPr>
            </w:pPr>
            <w:r>
              <w:rPr>
                <w:rFonts w:ascii="sans-serif" w:hAnsi="sans-serif"/>
                <w:b/>
                <w:color w:val="000000"/>
                <w:sz w:val="18"/>
              </w:rPr>
              <w:t>Capital</w:t>
            </w:r>
          </w:p>
        </w:tc>
        <w:tc>
          <w:tcPr>
            <w:tcW w:w="1426" w:type="dxa"/>
            <w:tcBorders/>
            <w:tcMar>
              <w:top w:w="0" w:type="dxa"/>
              <w:left w:w="0" w:type="dxa"/>
              <w:bottom w:w="0" w:type="dxa"/>
              <w:right w:w="0" w:type="dxa"/>
            </w:tcMar>
            <w:vAlign w:val="center"/>
          </w:tcPr>
          <w:p>
            <w:pPr>
              <w:pStyle w:val="TableContents"/>
              <w:bidi w:val="0"/>
              <w:spacing w:before="184" w:after="283"/>
              <w:ind w:left="0" w:right="0" w:firstLine="396"/>
              <w:jc w:val="center"/>
              <w:rPr>
                <w:rFonts w:ascii="sans-serif" w:hAnsi="sans-serif"/>
                <w:b/>
                <w:color w:val="000000"/>
                <w:sz w:val="18"/>
              </w:rPr>
            </w:pPr>
            <w:r>
              <w:rPr>
                <w:rFonts w:ascii="sans-serif" w:hAnsi="sans-serif"/>
                <w:b/>
                <w:color w:val="000000"/>
                <w:sz w:val="18"/>
              </w:rPr>
              <w:t>Retained Earnings</w:t>
            </w:r>
          </w:p>
        </w:tc>
        <w:tc>
          <w:tcPr>
            <w:tcW w:w="280" w:type="dxa"/>
            <w:tcBorders/>
            <w:tcMar>
              <w:top w:w="0" w:type="dxa"/>
              <w:left w:w="0" w:type="dxa"/>
              <w:bottom w:w="0" w:type="dxa"/>
              <w:right w:w="0" w:type="dxa"/>
            </w:tcMar>
            <w:vAlign w:val="center"/>
          </w:tcPr>
          <w:p>
            <w:pPr>
              <w:pStyle w:val="TableContents"/>
              <w:bidi w:val="0"/>
              <w:spacing w:before="0" w:after="283"/>
              <w:ind w:left="0" w:right="0" w:firstLine="134"/>
              <w:jc w:val="center"/>
              <w:rPr/>
            </w:pPr>
            <w:r>
              <w:rPr/>
              <w:t> </w:t>
            </w:r>
          </w:p>
        </w:tc>
        <w:tc>
          <w:tcPr>
            <w:tcW w:w="1830" w:type="dxa"/>
            <w:tcBorders/>
            <w:tcMar>
              <w:top w:w="0" w:type="dxa"/>
              <w:left w:w="0" w:type="dxa"/>
              <w:bottom w:w="0" w:type="dxa"/>
              <w:right w:w="0" w:type="dxa"/>
            </w:tcMar>
            <w:vAlign w:val="center"/>
          </w:tcPr>
          <w:p>
            <w:pPr>
              <w:pStyle w:val="TableContents"/>
              <w:bidi w:val="0"/>
              <w:spacing w:before="27" w:after="283"/>
              <w:ind w:left="0" w:right="0" w:firstLine="134"/>
              <w:jc w:val="center"/>
              <w:rPr>
                <w:rFonts w:ascii="sans-serif" w:hAnsi="sans-serif"/>
                <w:b/>
                <w:color w:val="000000"/>
                <w:sz w:val="18"/>
              </w:rPr>
            </w:pPr>
            <w:r>
              <w:rPr>
                <w:rFonts w:ascii="sans-serif" w:hAnsi="sans-serif"/>
                <w:b/>
                <w:color w:val="000000"/>
                <w:sz w:val="18"/>
              </w:rPr>
              <w:t>Accumulated Other Comprehensive Income (Loss)</w:t>
            </w:r>
          </w:p>
        </w:tc>
        <w:tc>
          <w:tcPr>
            <w:tcW w:w="895" w:type="dxa"/>
            <w:tcBorders/>
            <w:tcMar>
              <w:top w:w="0" w:type="dxa"/>
              <w:left w:w="0" w:type="dxa"/>
              <w:bottom w:w="0" w:type="dxa"/>
              <w:right w:w="0" w:type="dxa"/>
            </w:tcMar>
            <w:vAlign w:val="center"/>
          </w:tcPr>
          <w:p>
            <w:pPr>
              <w:pStyle w:val="TableContents"/>
              <w:bidi w:val="0"/>
              <w:spacing w:before="0" w:after="283"/>
              <w:ind w:left="0" w:right="0" w:firstLine="749"/>
              <w:jc w:val="center"/>
              <w:rPr/>
            </w:pPr>
            <w:r>
              <w:rPr/>
              <w:t> </w:t>
            </w:r>
          </w:p>
        </w:tc>
        <w:tc>
          <w:tcPr>
            <w:tcW w:w="1611" w:type="dxa"/>
            <w:tcBorders/>
            <w:tcMar>
              <w:top w:w="0" w:type="dxa"/>
              <w:left w:w="0" w:type="dxa"/>
              <w:bottom w:w="0" w:type="dxa"/>
              <w:right w:w="0" w:type="dxa"/>
            </w:tcMar>
            <w:vAlign w:val="center"/>
          </w:tcPr>
          <w:p>
            <w:pPr>
              <w:pStyle w:val="TableContents"/>
              <w:bidi w:val="0"/>
              <w:spacing w:before="184" w:after="283"/>
              <w:ind w:left="0" w:right="0" w:firstLine="50"/>
              <w:jc w:val="left"/>
              <w:rPr>
                <w:rFonts w:ascii="sans-serif" w:hAnsi="sans-serif"/>
                <w:b/>
                <w:color w:val="000000"/>
                <w:sz w:val="18"/>
              </w:rPr>
            </w:pPr>
            <w:r>
              <w:rPr>
                <w:rFonts w:ascii="sans-serif" w:hAnsi="sans-serif"/>
                <w:b/>
                <w:color w:val="000000"/>
                <w:sz w:val="18"/>
              </w:rPr>
              <w:t>Total Stockholders’ Equity</w:t>
            </w:r>
          </w:p>
        </w:tc>
      </w:tr>
      <w:tr>
        <w:trPr/>
        <w:tc>
          <w:tcPr>
            <w:tcW w:w="1611" w:type="dxa"/>
            <w:tcBorders/>
            <w:tcMar>
              <w:top w:w="0" w:type="dxa"/>
              <w:left w:w="0" w:type="dxa"/>
              <w:bottom w:w="0" w:type="dxa"/>
              <w:right w:w="0" w:type="dxa"/>
            </w:tcMar>
            <w:vAlign w:val="center"/>
          </w:tcPr>
          <w:p>
            <w:pPr>
              <w:pStyle w:val="TableContents"/>
              <w:bidi w:val="0"/>
              <w:spacing w:before="166" w:after="283"/>
              <w:ind w:left="0" w:right="0" w:firstLine="50"/>
              <w:jc w:val="left"/>
              <w:rPr>
                <w:rFonts w:ascii="sans-serif" w:hAnsi="sans-serif"/>
                <w:color w:val="000000"/>
                <w:sz w:val="18"/>
              </w:rPr>
            </w:pPr>
            <w:r>
              <w:rPr>
                <w:rFonts w:ascii="sans-serif" w:hAnsi="sans-serif"/>
                <w:color w:val="000000"/>
                <w:sz w:val="18"/>
              </w:rPr>
              <w:t>BALANCE, December 31, 2024</w:t>
            </w:r>
          </w:p>
        </w:tc>
        <w:tc>
          <w:tcPr>
            <w:tcW w:w="1826" w:type="dxa"/>
            <w:tcBorders/>
            <w:tcMar>
              <w:top w:w="0" w:type="dxa"/>
              <w:left w:w="0" w:type="dxa"/>
              <w:bottom w:w="0" w:type="dxa"/>
              <w:right w:w="0" w:type="dxa"/>
            </w:tcMar>
            <w:vAlign w:val="center"/>
          </w:tcPr>
          <w:p>
            <w:pPr>
              <w:pStyle w:val="TableContents"/>
              <w:bidi w:val="0"/>
              <w:spacing w:before="195" w:after="283"/>
              <w:jc w:val="right"/>
              <w:rPr>
                <w:rFonts w:ascii="sans-serif" w:hAnsi="sans-serif"/>
                <w:color w:val="000000"/>
                <w:sz w:val="18"/>
              </w:rPr>
            </w:pPr>
            <w:r>
              <w:rPr>
                <w:rFonts w:ascii="sans-serif" w:hAnsi="sans-serif"/>
                <w:color w:val="000000"/>
                <w:sz w:val="18"/>
              </w:rPr>
              <w:t>$3,913</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195" w:after="283"/>
              <w:jc w:val="right"/>
              <w:rPr>
                <w:rFonts w:ascii="sans-serif" w:hAnsi="sans-serif"/>
                <w:color w:val="000000"/>
                <w:sz w:val="18"/>
              </w:rPr>
            </w:pPr>
            <w:r>
              <w:rPr>
                <w:rFonts w:ascii="sans-serif" w:hAnsi="sans-serif"/>
                <w:color w:val="000000"/>
                <w:sz w:val="18"/>
              </w:rPr>
              <w:t>$151,115,587</w:t>
            </w:r>
          </w:p>
        </w:tc>
        <w:tc>
          <w:tcPr>
            <w:tcW w:w="1426" w:type="dxa"/>
            <w:tcBorders/>
            <w:tcMar>
              <w:top w:w="0" w:type="dxa"/>
              <w:left w:w="0" w:type="dxa"/>
              <w:bottom w:w="0" w:type="dxa"/>
              <w:right w:w="0" w:type="dxa"/>
            </w:tcMar>
            <w:vAlign w:val="center"/>
          </w:tcPr>
          <w:p>
            <w:pPr>
              <w:pStyle w:val="TableContents"/>
              <w:bidi w:val="0"/>
              <w:spacing w:before="195" w:after="283"/>
              <w:jc w:val="right"/>
              <w:rPr>
                <w:rFonts w:ascii="sans-serif" w:hAnsi="sans-serif"/>
                <w:color w:val="000000"/>
                <w:sz w:val="18"/>
              </w:rPr>
            </w:pPr>
            <w:r>
              <w:rPr>
                <w:rFonts w:ascii="sans-serif" w:hAnsi="sans-serif"/>
                <w:color w:val="000000"/>
                <w:sz w:val="18"/>
              </w:rPr>
              <w:t>$88,065,950</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tcMar>
              <w:top w:w="0" w:type="dxa"/>
              <w:left w:w="0" w:type="dxa"/>
              <w:bottom w:w="0" w:type="dxa"/>
              <w:right w:w="0" w:type="dxa"/>
            </w:tcMar>
            <w:vAlign w:val="center"/>
          </w:tcPr>
          <w:p>
            <w:pPr>
              <w:pStyle w:val="TableContents"/>
              <w:bidi w:val="0"/>
              <w:spacing w:before="195" w:after="283"/>
              <w:jc w:val="right"/>
              <w:rPr>
                <w:rFonts w:ascii="sans-serif" w:hAnsi="sans-serif"/>
                <w:color w:val="000000"/>
                <w:sz w:val="18"/>
              </w:rPr>
            </w:pPr>
            <w:r>
              <w:rPr>
                <w:rFonts w:ascii="sans-serif" w:hAnsi="sans-serif"/>
                <w:color w:val="000000"/>
                <w:sz w:val="18"/>
              </w:rPr>
              <w:t>$7,745,765</w:t>
            </w:r>
          </w:p>
        </w:tc>
        <w:tc>
          <w:tcPr>
            <w:tcW w:w="8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195" w:after="283"/>
              <w:ind w:left="0" w:right="0" w:firstLine="110"/>
              <w:jc w:val="right"/>
              <w:rPr>
                <w:rFonts w:ascii="sans-serif" w:hAnsi="sans-serif"/>
                <w:color w:val="000000"/>
                <w:sz w:val="18"/>
              </w:rPr>
            </w:pPr>
            <w:r>
              <w:rPr>
                <w:rFonts w:ascii="sans-serif" w:hAnsi="sans-serif"/>
                <w:color w:val="000000"/>
                <w:sz w:val="18"/>
              </w:rPr>
              <w:t>$246,931,215</w:t>
            </w:r>
          </w:p>
        </w:tc>
      </w:tr>
      <w:tr>
        <w:trPr/>
        <w:tc>
          <w:tcPr>
            <w:tcW w:w="1611" w:type="dxa"/>
            <w:tcBorders/>
            <w:tcMar>
              <w:top w:w="0" w:type="dxa"/>
              <w:left w:w="0" w:type="dxa"/>
              <w:bottom w:w="0" w:type="dxa"/>
              <w:right w:w="0" w:type="dxa"/>
            </w:tcMar>
            <w:vAlign w:val="center"/>
          </w:tcPr>
          <w:p>
            <w:pPr>
              <w:pStyle w:val="TableContents"/>
              <w:bidi w:val="0"/>
              <w:spacing w:before="2" w:after="283"/>
              <w:ind w:left="0" w:right="0" w:firstLine="110"/>
              <w:jc w:val="left"/>
              <w:rPr>
                <w:rFonts w:ascii="sans-serif" w:hAnsi="sans-serif"/>
                <w:color w:val="000000"/>
                <w:sz w:val="18"/>
              </w:rPr>
            </w:pPr>
            <w:r>
              <w:rPr>
                <w:rFonts w:ascii="sans-serif" w:hAnsi="sans-serif"/>
                <w:color w:val="000000"/>
                <w:sz w:val="18"/>
              </w:rPr>
              <w:t>Net income</w:t>
            </w:r>
          </w:p>
        </w:tc>
        <w:tc>
          <w:tcPr>
            <w:tcW w:w="1826" w:type="dxa"/>
            <w:tcBorders/>
            <w:tcMar>
              <w:top w:w="0" w:type="dxa"/>
              <w:left w:w="0" w:type="dxa"/>
              <w:bottom w:w="0" w:type="dxa"/>
              <w:right w:w="0" w:type="dxa"/>
            </w:tcMar>
            <w:vAlign w:val="center"/>
          </w:tcPr>
          <w:p>
            <w:pPr>
              <w:pStyle w:val="TableContents"/>
              <w:bidi w:val="0"/>
              <w:spacing w:before="9" w:after="283"/>
              <w:jc w:val="right"/>
              <w:rPr>
                <w:rFonts w:ascii="sans-serif" w:hAnsi="sans-serif"/>
                <w:color w:val="000000"/>
                <w:sz w:val="18"/>
              </w:rPr>
            </w:pPr>
            <w:r>
              <w:rPr>
                <w:rFonts w:ascii="sans-serif" w:hAnsi="sans-serif"/>
                <w:color w:val="000000"/>
                <w:sz w:val="18"/>
              </w:rPr>
              <w:t>-</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w:t>
            </w:r>
          </w:p>
        </w:tc>
        <w:tc>
          <w:tcPr>
            <w:tcW w:w="1426" w:type="dxa"/>
            <w:tcBorders/>
            <w:tcMar>
              <w:top w:w="0" w:type="dxa"/>
              <w:left w:w="0" w:type="dxa"/>
              <w:bottom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(651,730)</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tcMar>
              <w:top w:w="0" w:type="dxa"/>
              <w:left w:w="0" w:type="dxa"/>
              <w:bottom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w:t>
            </w:r>
          </w:p>
        </w:tc>
        <w:tc>
          <w:tcPr>
            <w:tcW w:w="8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31" w:after="283"/>
              <w:ind w:left="0" w:right="0" w:firstLine="110"/>
              <w:jc w:val="right"/>
              <w:rPr>
                <w:rFonts w:ascii="sans-serif" w:hAnsi="sans-serif"/>
                <w:color w:val="000000"/>
                <w:sz w:val="18"/>
              </w:rPr>
            </w:pPr>
            <w:r>
              <w:rPr>
                <w:rFonts w:ascii="sans-serif" w:hAnsi="sans-serif"/>
                <w:color w:val="000000"/>
                <w:sz w:val="18"/>
              </w:rPr>
              <w:t>(651,730)</w:t>
            </w:r>
          </w:p>
        </w:tc>
      </w:tr>
      <w:tr>
        <w:trPr/>
        <w:tc>
          <w:tcPr>
            <w:tcW w:w="1611" w:type="dxa"/>
            <w:tcBorders/>
            <w:tcMar>
              <w:top w:w="0" w:type="dxa"/>
              <w:left w:w="0" w:type="dxa"/>
              <w:bottom w:w="0" w:type="dxa"/>
              <w:right w:w="0" w:type="dxa"/>
            </w:tcMar>
            <w:vAlign w:val="center"/>
          </w:tcPr>
          <w:p>
            <w:pPr>
              <w:pStyle w:val="TableContents"/>
              <w:bidi w:val="0"/>
              <w:spacing w:before="2" w:after="283"/>
              <w:ind w:left="0" w:right="0" w:firstLine="110"/>
              <w:jc w:val="left"/>
              <w:rPr>
                <w:rFonts w:ascii="sans-serif" w:hAnsi="sans-serif"/>
                <w:color w:val="000000"/>
                <w:sz w:val="18"/>
              </w:rPr>
            </w:pPr>
            <w:r>
              <w:rPr>
                <w:rFonts w:ascii="sans-serif" w:hAnsi="sans-serif"/>
                <w:color w:val="000000"/>
                <w:sz w:val="18"/>
              </w:rPr>
              <w:t>Other comprehensive income (loss)</w:t>
            </w:r>
          </w:p>
        </w:tc>
        <w:tc>
          <w:tcPr>
            <w:tcW w:w="1826" w:type="dxa"/>
            <w:tcBorders>
              <w:bottom w:val="single" w:sz="4" w:space="0" w:color="000000"/>
            </w:tcBorders>
            <w:tcMar>
              <w:top w:w="0" w:type="dxa"/>
              <w:left w:w="0" w:type="dxa"/>
              <w:right w:w="0" w:type="dxa"/>
            </w:tcMar>
            <w:vAlign w:val="center"/>
          </w:tcPr>
          <w:p>
            <w:pPr>
              <w:pStyle w:val="TableContents"/>
              <w:bidi w:val="0"/>
              <w:spacing w:before="7" w:after="283"/>
              <w:jc w:val="right"/>
              <w:rPr>
                <w:rFonts w:ascii="sans-serif" w:hAnsi="sans-serif"/>
                <w:color w:val="000000"/>
                <w:sz w:val="18"/>
              </w:rPr>
            </w:pPr>
            <w:r>
              <w:rPr>
                <w:rFonts w:ascii="sans-serif" w:hAnsi="sans-serif"/>
                <w:color w:val="000000"/>
                <w:sz w:val="18"/>
              </w:rPr>
              <w:t>-</w:t>
            </w:r>
          </w:p>
        </w:tc>
        <w:tc>
          <w:tcPr>
            <w:tcW w:w="15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w:t>
            </w:r>
          </w:p>
        </w:tc>
        <w:tc>
          <w:tcPr>
            <w:tcW w:w="1426" w:type="dxa"/>
            <w:tcBorders>
              <w:bottom w:val="single" w:sz="4" w:space="0" w:color="000000"/>
            </w:tcBorders>
            <w:tcMar>
              <w:top w:w="0" w:type="dxa"/>
              <w:left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w:t>
            </w:r>
          </w:p>
        </w:tc>
        <w:tc>
          <w:tcPr>
            <w:tcW w:w="28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30" w:type="dxa"/>
            <w:tcBorders>
              <w:bottom w:val="single" w:sz="4" w:space="0" w:color="000000"/>
            </w:tcBorders>
            <w:tcMar>
              <w:top w:w="0" w:type="dxa"/>
              <w:left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(822)</w:t>
            </w:r>
          </w:p>
        </w:tc>
        <w:tc>
          <w:tcPr>
            <w:tcW w:w="8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4" w:space="0" w:color="000000"/>
            </w:tcBorders>
            <w:tcMar>
              <w:top w:w="0" w:type="dxa"/>
              <w:left w:w="0" w:type="dxa"/>
              <w:right w:w="0" w:type="dxa"/>
            </w:tcMar>
            <w:vAlign w:val="center"/>
          </w:tcPr>
          <w:p>
            <w:pPr>
              <w:pStyle w:val="TableContents"/>
              <w:bidi w:val="0"/>
              <w:spacing w:before="31" w:after="283"/>
              <w:ind w:left="0" w:right="0" w:firstLine="50"/>
              <w:jc w:val="right"/>
              <w:rPr>
                <w:rFonts w:ascii="sans-serif" w:hAnsi="sans-serif"/>
                <w:color w:val="000000"/>
                <w:sz w:val="18"/>
              </w:rPr>
            </w:pPr>
            <w:r>
              <w:rPr>
                <w:rFonts w:ascii="sans-serif" w:hAnsi="sans-serif"/>
                <w:color w:val="000000"/>
                <w:sz w:val="18"/>
              </w:rPr>
              <w:t>(822)</w:t>
            </w:r>
          </w:p>
        </w:tc>
      </w:tr>
      <w:tr>
        <w:trPr/>
        <w:tc>
          <w:tcPr>
            <w:tcW w:w="1611" w:type="dxa"/>
            <w:tcBorders/>
            <w:tcMar>
              <w:top w:w="0" w:type="dxa"/>
              <w:left w:w="0" w:type="dxa"/>
              <w:bottom w:w="0" w:type="dxa"/>
              <w:right w:w="0" w:type="dxa"/>
            </w:tcMar>
            <w:vAlign w:val="center"/>
          </w:tcPr>
          <w:p>
            <w:pPr>
              <w:pStyle w:val="TableContents"/>
              <w:bidi w:val="0"/>
              <w:spacing w:before="27" w:after="283"/>
              <w:ind w:left="0" w:right="0" w:firstLine="50"/>
              <w:jc w:val="left"/>
              <w:rPr>
                <w:rFonts w:ascii="sans-serif" w:hAnsi="sans-serif"/>
                <w:color w:val="000000"/>
                <w:sz w:val="18"/>
              </w:rPr>
            </w:pPr>
            <w:r>
              <w:rPr>
                <w:rFonts w:ascii="sans-serif" w:hAnsi="sans-serif"/>
                <w:color w:val="000000"/>
                <w:sz w:val="18"/>
              </w:rPr>
              <w:t>BALANCE, March 31, 2025 (Unaudited)</w:t>
            </w:r>
          </w:p>
        </w:tc>
        <w:tc>
          <w:tcPr>
            <w:tcW w:w="1826" w:type="dxa"/>
            <w:tcBorders/>
            <w:tcMar>
              <w:top w:w="0" w:type="dxa"/>
              <w:left w:w="0" w:type="dxa"/>
              <w:bottom w:w="0" w:type="dxa"/>
              <w:right w:w="0" w:type="dxa"/>
            </w:tcMar>
            <w:vAlign w:val="center"/>
          </w:tcPr>
          <w:p>
            <w:pPr>
              <w:pStyle w:val="TableContents"/>
              <w:bidi w:val="0"/>
              <w:spacing w:before="56" w:after="283"/>
              <w:jc w:val="right"/>
              <w:rPr>
                <w:rFonts w:ascii="sans-serif" w:hAnsi="sans-serif"/>
                <w:color w:val="000000"/>
                <w:sz w:val="18"/>
              </w:rPr>
            </w:pPr>
            <w:r>
              <w:rPr>
                <w:rFonts w:ascii="sans-serif" w:hAnsi="sans-serif"/>
                <w:color w:val="000000"/>
                <w:sz w:val="18"/>
              </w:rPr>
              <w:t>$3,913</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56" w:after="283"/>
              <w:jc w:val="right"/>
              <w:rPr>
                <w:rFonts w:ascii="sans-serif" w:hAnsi="sans-serif"/>
                <w:color w:val="000000"/>
                <w:sz w:val="18"/>
              </w:rPr>
            </w:pPr>
            <w:r>
              <w:rPr>
                <w:rFonts w:ascii="sans-serif" w:hAnsi="sans-serif"/>
                <w:color w:val="000000"/>
                <w:sz w:val="18"/>
              </w:rPr>
              <w:t>$151,115,587</w:t>
            </w:r>
          </w:p>
        </w:tc>
        <w:tc>
          <w:tcPr>
            <w:tcW w:w="1426" w:type="dxa"/>
            <w:tcBorders/>
            <w:tcMar>
              <w:top w:w="0" w:type="dxa"/>
              <w:left w:w="0" w:type="dxa"/>
              <w:bottom w:w="0" w:type="dxa"/>
              <w:right w:w="0" w:type="dxa"/>
            </w:tcMar>
            <w:vAlign w:val="center"/>
          </w:tcPr>
          <w:p>
            <w:pPr>
              <w:pStyle w:val="TableContents"/>
              <w:bidi w:val="0"/>
              <w:spacing w:before="56" w:after="283"/>
              <w:jc w:val="right"/>
              <w:rPr>
                <w:rFonts w:ascii="sans-serif" w:hAnsi="sans-serif"/>
                <w:color w:val="000000"/>
                <w:sz w:val="18"/>
              </w:rPr>
            </w:pPr>
            <w:r>
              <w:rPr>
                <w:rFonts w:ascii="sans-serif" w:hAnsi="sans-serif"/>
                <w:color w:val="000000"/>
                <w:sz w:val="18"/>
              </w:rPr>
              <w:t>$87,414,220</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tcMar>
              <w:top w:w="0" w:type="dxa"/>
              <w:left w:w="0" w:type="dxa"/>
              <w:bottom w:w="0" w:type="dxa"/>
              <w:right w:w="0" w:type="dxa"/>
            </w:tcMar>
            <w:vAlign w:val="center"/>
          </w:tcPr>
          <w:p>
            <w:pPr>
              <w:pStyle w:val="TableContents"/>
              <w:bidi w:val="0"/>
              <w:spacing w:before="56" w:after="283"/>
              <w:jc w:val="right"/>
              <w:rPr>
                <w:rFonts w:ascii="sans-serif" w:hAnsi="sans-serif"/>
                <w:color w:val="000000"/>
                <w:sz w:val="18"/>
              </w:rPr>
            </w:pPr>
            <w:r>
              <w:rPr>
                <w:rFonts w:ascii="sans-serif" w:hAnsi="sans-serif"/>
                <w:color w:val="000000"/>
                <w:sz w:val="18"/>
              </w:rPr>
              <w:t>$7,744,943</w:t>
            </w:r>
          </w:p>
        </w:tc>
        <w:tc>
          <w:tcPr>
            <w:tcW w:w="8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56" w:after="283"/>
              <w:ind w:left="0" w:right="0" w:firstLine="50"/>
              <w:jc w:val="right"/>
              <w:rPr>
                <w:rFonts w:ascii="sans-serif" w:hAnsi="sans-serif"/>
                <w:color w:val="000000"/>
                <w:sz w:val="18"/>
              </w:rPr>
            </w:pPr>
            <w:r>
              <w:rPr>
                <w:rFonts w:ascii="sans-serif" w:hAnsi="sans-serif"/>
                <w:color w:val="000000"/>
                <w:sz w:val="18"/>
              </w:rPr>
              <w:t>$246,278,662</w:t>
            </w:r>
          </w:p>
        </w:tc>
      </w:tr>
      <w:tr>
        <w:trPr/>
        <w:tc>
          <w:tcPr>
            <w:tcW w:w="1611" w:type="dxa"/>
            <w:tcBorders/>
            <w:tcMar>
              <w:top w:w="0" w:type="dxa"/>
              <w:left w:w="0" w:type="dxa"/>
              <w:bottom w:w="0" w:type="dxa"/>
              <w:right w:w="0" w:type="dxa"/>
            </w:tcMar>
            <w:vAlign w:val="center"/>
          </w:tcPr>
          <w:p>
            <w:pPr>
              <w:pStyle w:val="TableContents"/>
              <w:bidi w:val="0"/>
              <w:spacing w:before="27" w:after="283"/>
              <w:ind w:left="0" w:right="0" w:firstLine="50"/>
              <w:jc w:val="left"/>
              <w:rPr>
                <w:rFonts w:ascii="sans-serif" w:hAnsi="sans-serif"/>
                <w:color w:val="000000"/>
                <w:sz w:val="18"/>
              </w:rPr>
            </w:pPr>
            <w:r>
              <w:rPr>
                <w:rFonts w:ascii="sans-serif" w:hAnsi="sans-serif"/>
                <w:color w:val="000000"/>
                <w:sz w:val="18"/>
              </w:rPr>
              <w:t>BALANCE, December 31, 2025</w:t>
            </w:r>
          </w:p>
        </w:tc>
        <w:tc>
          <w:tcPr>
            <w:tcW w:w="1826" w:type="dxa"/>
            <w:tcBorders>
              <w:top w:val="single" w:sz="4" w:space="0" w:color="000000"/>
            </w:tcBorders>
            <w:tcMar>
              <w:left w:w="0" w:type="dxa"/>
              <w:bottom w:w="0" w:type="dxa"/>
              <w:right w:w="0" w:type="dxa"/>
            </w:tcMar>
            <w:vAlign w:val="center"/>
          </w:tcPr>
          <w:p>
            <w:pPr>
              <w:pStyle w:val="TableContents"/>
              <w:bidi w:val="0"/>
              <w:spacing w:before="56" w:after="283"/>
              <w:jc w:val="right"/>
              <w:rPr>
                <w:rFonts w:ascii="sans-serif" w:hAnsi="sans-serif"/>
                <w:color w:val="000000"/>
                <w:sz w:val="18"/>
              </w:rPr>
            </w:pPr>
            <w:r>
              <w:rPr>
                <w:rFonts w:ascii="sans-serif" w:hAnsi="sans-serif"/>
                <w:color w:val="000000"/>
                <w:sz w:val="18"/>
              </w:rPr>
              <w:t>$3,913</w:t>
            </w:r>
          </w:p>
        </w:tc>
        <w:tc>
          <w:tcPr>
            <w:tcW w:w="150"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26" w:type="dxa"/>
            <w:tcBorders>
              <w:top w:val="single" w:sz="4" w:space="0" w:color="000000"/>
            </w:tcBorders>
            <w:tcMar>
              <w:left w:w="0" w:type="dxa"/>
              <w:bottom w:w="0" w:type="dxa"/>
              <w:right w:w="0" w:type="dxa"/>
            </w:tcMar>
            <w:vAlign w:val="center"/>
          </w:tcPr>
          <w:p>
            <w:pPr>
              <w:pStyle w:val="TableContents"/>
              <w:bidi w:val="0"/>
              <w:spacing w:before="56" w:after="283"/>
              <w:jc w:val="right"/>
              <w:rPr>
                <w:rFonts w:ascii="sans-serif" w:hAnsi="sans-serif"/>
                <w:color w:val="000000"/>
                <w:sz w:val="18"/>
              </w:rPr>
            </w:pPr>
            <w:r>
              <w:rPr>
                <w:rFonts w:ascii="sans-serif" w:hAnsi="sans-serif"/>
                <w:color w:val="000000"/>
                <w:sz w:val="18"/>
              </w:rPr>
              <w:t>$151,115,587</w:t>
            </w:r>
          </w:p>
        </w:tc>
        <w:tc>
          <w:tcPr>
            <w:tcW w:w="1426" w:type="dxa"/>
            <w:tcBorders>
              <w:top w:val="single" w:sz="4" w:space="0" w:color="000000"/>
            </w:tcBorders>
            <w:tcMar>
              <w:left w:w="0" w:type="dxa"/>
              <w:bottom w:w="0" w:type="dxa"/>
              <w:right w:w="0" w:type="dxa"/>
            </w:tcMar>
            <w:vAlign w:val="center"/>
          </w:tcPr>
          <w:p>
            <w:pPr>
              <w:pStyle w:val="TableContents"/>
              <w:bidi w:val="0"/>
              <w:spacing w:before="56" w:after="283"/>
              <w:jc w:val="right"/>
              <w:rPr>
                <w:rFonts w:ascii="sans-serif" w:hAnsi="sans-serif"/>
                <w:color w:val="000000"/>
                <w:sz w:val="18"/>
              </w:rPr>
            </w:pPr>
            <w:r>
              <w:rPr>
                <w:rFonts w:ascii="sans-serif" w:hAnsi="sans-serif"/>
                <w:color w:val="000000"/>
                <w:sz w:val="18"/>
              </w:rPr>
              <w:t>$98,871,073</w:t>
            </w:r>
          </w:p>
        </w:tc>
        <w:tc>
          <w:tcPr>
            <w:tcW w:w="280"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30" w:type="dxa"/>
            <w:tcBorders>
              <w:top w:val="single" w:sz="4" w:space="0" w:color="000000"/>
            </w:tcBorders>
            <w:tcMar>
              <w:left w:w="0" w:type="dxa"/>
              <w:bottom w:w="0" w:type="dxa"/>
              <w:right w:w="0" w:type="dxa"/>
            </w:tcMar>
            <w:vAlign w:val="center"/>
          </w:tcPr>
          <w:p>
            <w:pPr>
              <w:pStyle w:val="TableContents"/>
              <w:bidi w:val="0"/>
              <w:spacing w:before="56" w:after="283"/>
              <w:jc w:val="right"/>
              <w:rPr>
                <w:rFonts w:ascii="sans-serif" w:hAnsi="sans-serif"/>
                <w:color w:val="000000"/>
                <w:sz w:val="18"/>
              </w:rPr>
            </w:pPr>
            <w:r>
              <w:rPr>
                <w:rFonts w:ascii="sans-serif" w:hAnsi="sans-serif"/>
                <w:color w:val="000000"/>
                <w:sz w:val="18"/>
              </w:rPr>
              <w:t>$7,657,492</w:t>
            </w:r>
          </w:p>
        </w:tc>
        <w:tc>
          <w:tcPr>
            <w:tcW w:w="89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11" w:type="dxa"/>
            <w:tcBorders>
              <w:top w:val="single" w:sz="4" w:space="0" w:color="000000"/>
            </w:tcBorders>
            <w:tcMar>
              <w:left w:w="0" w:type="dxa"/>
              <w:bottom w:w="0" w:type="dxa"/>
              <w:right w:w="0" w:type="dxa"/>
            </w:tcMar>
            <w:vAlign w:val="center"/>
          </w:tcPr>
          <w:p>
            <w:pPr>
              <w:pStyle w:val="TableContents"/>
              <w:bidi w:val="0"/>
              <w:spacing w:before="56" w:after="283"/>
              <w:ind w:left="0" w:right="0" w:firstLine="110"/>
              <w:jc w:val="right"/>
              <w:rPr>
                <w:rFonts w:ascii="sans-serif" w:hAnsi="sans-serif"/>
                <w:color w:val="000000"/>
                <w:sz w:val="18"/>
              </w:rPr>
            </w:pPr>
            <w:r>
              <w:rPr>
                <w:rFonts w:ascii="sans-serif" w:hAnsi="sans-serif"/>
                <w:color w:val="000000"/>
                <w:sz w:val="18"/>
              </w:rPr>
              <w:t>$257,648,065</w:t>
            </w:r>
          </w:p>
        </w:tc>
      </w:tr>
      <w:tr>
        <w:trPr/>
        <w:tc>
          <w:tcPr>
            <w:tcW w:w="1611" w:type="dxa"/>
            <w:tcBorders/>
            <w:tcMar>
              <w:top w:w="0" w:type="dxa"/>
              <w:left w:w="0" w:type="dxa"/>
              <w:bottom w:w="0" w:type="dxa"/>
              <w:right w:w="0" w:type="dxa"/>
            </w:tcMar>
            <w:vAlign w:val="center"/>
          </w:tcPr>
          <w:p>
            <w:pPr>
              <w:pStyle w:val="TableContents"/>
              <w:bidi w:val="0"/>
              <w:spacing w:before="2" w:after="283"/>
              <w:ind w:left="0" w:right="0" w:firstLine="110"/>
              <w:jc w:val="left"/>
              <w:rPr>
                <w:rFonts w:ascii="sans-serif" w:hAnsi="sans-serif"/>
                <w:color w:val="000000"/>
                <w:sz w:val="18"/>
              </w:rPr>
            </w:pPr>
            <w:r>
              <w:rPr>
                <w:rFonts w:ascii="sans-serif" w:hAnsi="sans-serif"/>
                <w:color w:val="000000"/>
                <w:sz w:val="18"/>
              </w:rPr>
              <w:t>Net income</w:t>
            </w:r>
          </w:p>
        </w:tc>
        <w:tc>
          <w:tcPr>
            <w:tcW w:w="1826" w:type="dxa"/>
            <w:tcBorders/>
            <w:tcMar>
              <w:top w:w="0" w:type="dxa"/>
              <w:left w:w="0" w:type="dxa"/>
              <w:bottom w:w="0" w:type="dxa"/>
              <w:right w:w="0" w:type="dxa"/>
            </w:tcMar>
            <w:vAlign w:val="center"/>
          </w:tcPr>
          <w:p>
            <w:pPr>
              <w:pStyle w:val="TableContents"/>
              <w:bidi w:val="0"/>
              <w:spacing w:before="9" w:after="283"/>
              <w:jc w:val="right"/>
              <w:rPr>
                <w:rFonts w:ascii="sans-serif" w:hAnsi="sans-serif"/>
                <w:color w:val="000000"/>
                <w:sz w:val="18"/>
              </w:rPr>
            </w:pPr>
            <w:r>
              <w:rPr>
                <w:rFonts w:ascii="sans-serif" w:hAnsi="sans-serif"/>
                <w:color w:val="000000"/>
                <w:sz w:val="18"/>
              </w:rPr>
              <w:t>-</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w:t>
            </w:r>
          </w:p>
        </w:tc>
        <w:tc>
          <w:tcPr>
            <w:tcW w:w="1426" w:type="dxa"/>
            <w:tcBorders/>
            <w:tcMar>
              <w:top w:w="0" w:type="dxa"/>
              <w:left w:w="0" w:type="dxa"/>
              <w:bottom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1,883,617</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tcMar>
              <w:top w:w="0" w:type="dxa"/>
              <w:left w:w="0" w:type="dxa"/>
              <w:bottom w:w="0" w:type="dxa"/>
              <w:right w:w="0" w:type="dxa"/>
            </w:tcMar>
            <w:vAlign w:val="center"/>
          </w:tcPr>
          <w:p>
            <w:pPr>
              <w:pStyle w:val="TableContents"/>
              <w:bidi w:val="0"/>
              <w:spacing w:before="31" w:after="283"/>
              <w:jc w:val="right"/>
              <w:rPr>
                <w:rFonts w:ascii="sans-serif" w:hAnsi="sans-serif"/>
                <w:color w:val="000000"/>
                <w:sz w:val="18"/>
              </w:rPr>
            </w:pPr>
            <w:r>
              <w:rPr>
                <w:rFonts w:ascii="sans-serif" w:hAnsi="sans-serif"/>
                <w:color w:val="000000"/>
                <w:sz w:val="18"/>
              </w:rPr>
              <w:t>-</w:t>
            </w:r>
          </w:p>
        </w:tc>
        <w:tc>
          <w:tcPr>
            <w:tcW w:w="8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31" w:after="283"/>
              <w:ind w:left="0" w:right="0" w:firstLine="110"/>
              <w:jc w:val="right"/>
              <w:rPr>
                <w:rFonts w:ascii="sans-serif" w:hAnsi="sans-serif"/>
                <w:color w:val="000000"/>
                <w:sz w:val="18"/>
              </w:rPr>
            </w:pPr>
            <w:r>
              <w:rPr>
                <w:rFonts w:ascii="sans-serif" w:hAnsi="sans-serif"/>
                <w:color w:val="000000"/>
                <w:sz w:val="18"/>
              </w:rPr>
              <w:t>1,883,617</w:t>
            </w:r>
          </w:p>
        </w:tc>
      </w:tr>
      <w:tr>
        <w:trPr/>
        <w:tc>
          <w:tcPr>
            <w:tcW w:w="1611" w:type="dxa"/>
            <w:tcBorders/>
            <w:tcMar>
              <w:top w:w="0" w:type="dxa"/>
              <w:left w:w="0" w:type="dxa"/>
              <w:bottom w:w="0" w:type="dxa"/>
              <w:right w:w="0" w:type="dxa"/>
            </w:tcMar>
            <w:vAlign w:val="center"/>
          </w:tcPr>
          <w:p>
            <w:pPr>
              <w:pStyle w:val="TableContents"/>
              <w:bidi w:val="0"/>
              <w:spacing w:before="31" w:after="283"/>
              <w:ind w:left="0" w:right="0" w:firstLine="110"/>
              <w:jc w:val="left"/>
              <w:rPr>
                <w:rFonts w:ascii="sans-serif" w:hAnsi="sans-serif"/>
                <w:color w:val="000000"/>
                <w:sz w:val="18"/>
              </w:rPr>
            </w:pPr>
            <w:r>
              <w:rPr>
                <w:rFonts w:ascii="sans-serif" w:hAnsi="sans-serif"/>
                <w:color w:val="000000"/>
                <w:sz w:val="18"/>
              </w:rPr>
              <w:t>Other comprehensive income (loss)</w:t>
            </w:r>
          </w:p>
        </w:tc>
        <w:tc>
          <w:tcPr>
            <w:tcW w:w="1826" w:type="dxa"/>
            <w:tcBorders>
              <w:bottom w:val="single" w:sz="4" w:space="0" w:color="000000"/>
            </w:tcBorders>
            <w:tcMar>
              <w:top w:w="0" w:type="dxa"/>
              <w:left w:w="0" w:type="dxa"/>
              <w:right w:w="0" w:type="dxa"/>
            </w:tcMar>
            <w:vAlign w:val="center"/>
          </w:tcPr>
          <w:p>
            <w:pPr>
              <w:pStyle w:val="TableContents"/>
              <w:bidi w:val="0"/>
              <w:spacing w:before="11" w:after="283"/>
              <w:jc w:val="right"/>
              <w:rPr>
                <w:rFonts w:ascii="sans-serif" w:hAnsi="sans-serif"/>
                <w:color w:val="000000"/>
                <w:sz w:val="18"/>
              </w:rPr>
            </w:pPr>
            <w:r>
              <w:rPr>
                <w:rFonts w:ascii="sans-serif" w:hAnsi="sans-serif"/>
                <w:color w:val="000000"/>
                <w:sz w:val="18"/>
              </w:rPr>
              <w:t>-</w:t>
            </w:r>
          </w:p>
        </w:tc>
        <w:tc>
          <w:tcPr>
            <w:tcW w:w="15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35" w:after="283"/>
              <w:jc w:val="right"/>
              <w:rPr>
                <w:rFonts w:ascii="sans-serif" w:hAnsi="sans-serif"/>
                <w:color w:val="000000"/>
                <w:sz w:val="18"/>
              </w:rPr>
            </w:pPr>
            <w:r>
              <w:rPr>
                <w:rFonts w:ascii="sans-serif" w:hAnsi="sans-serif"/>
                <w:color w:val="000000"/>
                <w:sz w:val="18"/>
              </w:rPr>
              <w:t>-</w:t>
            </w:r>
          </w:p>
        </w:tc>
        <w:tc>
          <w:tcPr>
            <w:tcW w:w="1426" w:type="dxa"/>
            <w:tcBorders>
              <w:bottom w:val="single" w:sz="4" w:space="0" w:color="000000"/>
            </w:tcBorders>
            <w:tcMar>
              <w:top w:w="0" w:type="dxa"/>
              <w:left w:w="0" w:type="dxa"/>
              <w:right w:w="0" w:type="dxa"/>
            </w:tcMar>
            <w:vAlign w:val="center"/>
          </w:tcPr>
          <w:p>
            <w:pPr>
              <w:pStyle w:val="TableContents"/>
              <w:bidi w:val="0"/>
              <w:spacing w:before="35" w:after="283"/>
              <w:jc w:val="right"/>
              <w:rPr>
                <w:rFonts w:ascii="sans-serif" w:hAnsi="sans-serif"/>
                <w:color w:val="000000"/>
                <w:sz w:val="18"/>
              </w:rPr>
            </w:pPr>
            <w:r>
              <w:rPr>
                <w:rFonts w:ascii="sans-serif" w:hAnsi="sans-serif"/>
                <w:color w:val="000000"/>
                <w:sz w:val="18"/>
              </w:rPr>
              <w:t>-</w:t>
            </w:r>
          </w:p>
        </w:tc>
        <w:tc>
          <w:tcPr>
            <w:tcW w:w="28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30" w:type="dxa"/>
            <w:tcBorders>
              <w:bottom w:val="single" w:sz="4" w:space="0" w:color="000000"/>
            </w:tcBorders>
            <w:tcMar>
              <w:top w:w="0" w:type="dxa"/>
              <w:left w:w="0" w:type="dxa"/>
              <w:right w:w="0" w:type="dxa"/>
            </w:tcMar>
            <w:vAlign w:val="center"/>
          </w:tcPr>
          <w:p>
            <w:pPr>
              <w:pStyle w:val="TableContents"/>
              <w:bidi w:val="0"/>
              <w:spacing w:before="35" w:after="283"/>
              <w:jc w:val="right"/>
              <w:rPr>
                <w:rFonts w:ascii="sans-serif" w:hAnsi="sans-serif"/>
                <w:color w:val="000000"/>
                <w:sz w:val="18"/>
              </w:rPr>
            </w:pPr>
            <w:r>
              <w:rPr>
                <w:rFonts w:ascii="sans-serif" w:hAnsi="sans-serif"/>
                <w:color w:val="000000"/>
                <w:sz w:val="18"/>
              </w:rPr>
              <w:t>(137,561)</w:t>
            </w:r>
          </w:p>
        </w:tc>
        <w:tc>
          <w:tcPr>
            <w:tcW w:w="8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4" w:space="0" w:color="000000"/>
            </w:tcBorders>
            <w:tcMar>
              <w:top w:w="0" w:type="dxa"/>
              <w:left w:w="0" w:type="dxa"/>
              <w:right w:w="0" w:type="dxa"/>
            </w:tcMar>
            <w:vAlign w:val="center"/>
          </w:tcPr>
          <w:p>
            <w:pPr>
              <w:pStyle w:val="TableContents"/>
              <w:bidi w:val="0"/>
              <w:spacing w:before="35" w:after="283"/>
              <w:ind w:left="0" w:right="0" w:firstLine="50"/>
              <w:jc w:val="right"/>
              <w:rPr>
                <w:rFonts w:ascii="sans-serif" w:hAnsi="sans-serif"/>
                <w:color w:val="000000"/>
                <w:sz w:val="18"/>
              </w:rPr>
            </w:pPr>
            <w:r>
              <w:rPr>
                <w:rFonts w:ascii="sans-serif" w:hAnsi="sans-serif"/>
                <w:color w:val="000000"/>
                <w:sz w:val="18"/>
              </w:rPr>
              <w:t>(137,561)</w:t>
            </w:r>
          </w:p>
        </w:tc>
      </w:tr>
      <w:tr>
        <w:trPr/>
        <w:tc>
          <w:tcPr>
            <w:tcW w:w="1611" w:type="dxa"/>
            <w:tcBorders/>
            <w:tcMar>
              <w:top w:w="0" w:type="dxa"/>
              <w:left w:w="0" w:type="dxa"/>
              <w:bottom w:w="0" w:type="dxa"/>
              <w:right w:w="0" w:type="dxa"/>
            </w:tcMar>
            <w:vAlign w:val="center"/>
          </w:tcPr>
          <w:p>
            <w:pPr>
              <w:pStyle w:val="TableContents"/>
              <w:bidi w:val="0"/>
              <w:spacing w:before="87" w:after="283"/>
              <w:ind w:left="0" w:right="0" w:firstLine="50"/>
              <w:jc w:val="left"/>
              <w:rPr>
                <w:rFonts w:ascii="sans-serif" w:hAnsi="sans-serif"/>
                <w:color w:val="000000"/>
                <w:sz w:val="18"/>
              </w:rPr>
            </w:pPr>
            <w:r>
              <w:rPr>
                <w:rFonts w:ascii="sans-serif" w:hAnsi="sans-serif"/>
                <w:color w:val="000000"/>
                <w:sz w:val="18"/>
              </w:rPr>
              <w:t>BALANCE, March 31, 2026 (Unaudited)</w:t>
            </w:r>
          </w:p>
        </w:tc>
        <w:tc>
          <w:tcPr>
            <w:tcW w:w="1826" w:type="dxa"/>
            <w:tcBorders>
              <w:bottom w:val="double" w:sz="4" w:space="0" w:color="000000"/>
            </w:tcBorders>
            <w:tcMar>
              <w:top w:w="0" w:type="dxa"/>
              <w:left w:w="0" w:type="dxa"/>
              <w:right w:w="0" w:type="dxa"/>
            </w:tcMar>
            <w:vAlign w:val="center"/>
          </w:tcPr>
          <w:p>
            <w:pPr>
              <w:pStyle w:val="TableContents"/>
              <w:bidi w:val="0"/>
              <w:spacing w:before="90" w:after="283"/>
              <w:jc w:val="right"/>
              <w:rPr>
                <w:rFonts w:ascii="sans-serif" w:hAnsi="sans-serif"/>
                <w:color w:val="000000"/>
                <w:sz w:val="18"/>
              </w:rPr>
            </w:pPr>
            <w:r>
              <w:rPr>
                <w:rFonts w:ascii="sans-serif" w:hAnsi="sans-serif"/>
                <w:color w:val="000000"/>
                <w:sz w:val="18"/>
              </w:rPr>
              <w:t>$3,913</w:t>
            </w:r>
          </w:p>
        </w:tc>
        <w:tc>
          <w:tcPr>
            <w:tcW w:w="150"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double" w:sz="4" w:space="0" w:color="000000"/>
            </w:tcBorders>
            <w:tcMar>
              <w:top w:w="0" w:type="dxa"/>
              <w:left w:w="0" w:type="dxa"/>
              <w:right w:w="0" w:type="dxa"/>
            </w:tcMar>
            <w:vAlign w:val="center"/>
          </w:tcPr>
          <w:p>
            <w:pPr>
              <w:pStyle w:val="TableContents"/>
              <w:bidi w:val="0"/>
              <w:spacing w:before="90" w:after="283"/>
              <w:jc w:val="right"/>
              <w:rPr>
                <w:rFonts w:ascii="sans-serif" w:hAnsi="sans-serif"/>
                <w:color w:val="000000"/>
                <w:sz w:val="18"/>
              </w:rPr>
            </w:pPr>
            <w:r>
              <w:rPr>
                <w:rFonts w:ascii="sans-serif" w:hAnsi="sans-serif"/>
                <w:color w:val="000000"/>
                <w:sz w:val="18"/>
              </w:rPr>
              <w:t>$151,115,587</w:t>
            </w:r>
          </w:p>
        </w:tc>
        <w:tc>
          <w:tcPr>
            <w:tcW w:w="1426" w:type="dxa"/>
            <w:tcBorders>
              <w:bottom w:val="double" w:sz="4" w:space="0" w:color="000000"/>
            </w:tcBorders>
            <w:tcMar>
              <w:top w:w="0" w:type="dxa"/>
              <w:left w:w="0" w:type="dxa"/>
              <w:right w:w="0" w:type="dxa"/>
            </w:tcMar>
            <w:vAlign w:val="center"/>
          </w:tcPr>
          <w:p>
            <w:pPr>
              <w:pStyle w:val="TableContents"/>
              <w:bidi w:val="0"/>
              <w:spacing w:before="90" w:after="283"/>
              <w:jc w:val="right"/>
              <w:rPr>
                <w:rFonts w:ascii="sans-serif" w:hAnsi="sans-serif"/>
                <w:color w:val="000000"/>
                <w:sz w:val="18"/>
              </w:rPr>
            </w:pPr>
            <w:r>
              <w:rPr>
                <w:rFonts w:ascii="sans-serif" w:hAnsi="sans-serif"/>
                <w:color w:val="000000"/>
                <w:sz w:val="18"/>
              </w:rPr>
              <w:t>$100,754,690</w:t>
            </w:r>
          </w:p>
        </w:tc>
        <w:tc>
          <w:tcPr>
            <w:tcW w:w="280"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830" w:type="dxa"/>
            <w:tcBorders>
              <w:bottom w:val="double" w:sz="4" w:space="0" w:color="000000"/>
            </w:tcBorders>
            <w:tcMar>
              <w:top w:w="0" w:type="dxa"/>
              <w:left w:w="0" w:type="dxa"/>
              <w:right w:w="0" w:type="dxa"/>
            </w:tcMar>
            <w:vAlign w:val="center"/>
          </w:tcPr>
          <w:p>
            <w:pPr>
              <w:pStyle w:val="TableContents"/>
              <w:bidi w:val="0"/>
              <w:spacing w:before="90" w:after="283"/>
              <w:jc w:val="right"/>
              <w:rPr>
                <w:rFonts w:ascii="sans-serif" w:hAnsi="sans-serif"/>
                <w:color w:val="000000"/>
                <w:sz w:val="18"/>
              </w:rPr>
            </w:pPr>
            <w:r>
              <w:rPr>
                <w:rFonts w:ascii="sans-serif" w:hAnsi="sans-serif"/>
                <w:color w:val="000000"/>
                <w:sz w:val="18"/>
              </w:rPr>
              <w:t>$7,519,931</w:t>
            </w:r>
          </w:p>
        </w:tc>
        <w:tc>
          <w:tcPr>
            <w:tcW w:w="895"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611" w:type="dxa"/>
            <w:tcBorders>
              <w:bottom w:val="double" w:sz="4" w:space="0" w:color="000000"/>
            </w:tcBorders>
            <w:tcMar>
              <w:top w:w="0" w:type="dxa"/>
              <w:left w:w="0" w:type="dxa"/>
              <w:right w:w="0" w:type="dxa"/>
            </w:tcMar>
            <w:vAlign w:val="center"/>
          </w:tcPr>
          <w:p>
            <w:pPr>
              <w:pStyle w:val="TableContents"/>
              <w:bidi w:val="0"/>
              <w:spacing w:before="90" w:after="283"/>
              <w:jc w:val="right"/>
              <w:rPr>
                <w:rFonts w:ascii="sans-serif" w:hAnsi="sans-serif"/>
                <w:color w:val="000000"/>
                <w:sz w:val="18"/>
              </w:rPr>
            </w:pPr>
            <w:r>
              <w:rPr>
                <w:rFonts w:ascii="sans-serif" w:hAnsi="sans-serif"/>
                <w:color w:val="000000"/>
                <w:sz w:val="18"/>
              </w:rPr>
              <w:t>$259,394,120</w:t>
            </w:r>
          </w:p>
        </w:tc>
      </w:tr>
    </w:tbl>
    <w:p>
      <w:pPr>
        <w:pStyle w:val="TextBody"/>
        <w:bidi w:val="0"/>
        <w:jc w:val="right"/>
        <w:rPr/>
      </w:pPr>
      <w:r>
        <w:rPr/>
        <w:t> </w:t>
      </w:r>
    </w:p>
    <w:p>
      <w:pPr>
        <w:pStyle w:val="TextBody"/>
        <w:bidi w:val="0"/>
        <w:jc w:val="left"/>
        <w:rPr/>
      </w:pPr>
      <w:r>
        <w:rPr/>
        <w:t> </w:t>
      </w:r>
    </w:p>
    <w:p>
      <w:pPr>
        <w:pStyle w:val="TextBody"/>
        <w:bidi w:val="0"/>
        <w:jc w:val="left"/>
        <w:rPr>
          <w:rFonts w:ascii="sans-serif" w:hAnsi="sans-serif"/>
          <w:color w:val="000000"/>
          <w:sz w:val="18"/>
        </w:rPr>
      </w:pPr>
      <w:r>
        <w:rPr>
          <w:rFonts w:ascii="sans-serif" w:hAnsi="sans-serif"/>
          <w:color w:val="000000"/>
          <w:sz w:val="18"/>
        </w:rPr>
        <w:t>The accompanying notes are an integral part of these condensed combined and consolidated financial statements.</w:t>
      </w:r>
    </w:p>
    <w:p>
      <w:pPr>
        <w:pStyle w:val="TextBody"/>
        <w:bidi w:val="0"/>
        <w:jc w:val="left"/>
        <w:rPr/>
      </w:pPr>
      <w:r>
        <w:rPr/>
        <w:t>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left"/>
        <w:rPr/>
      </w:pPr>
      <w:r>
        <w:rPr/>
        <w:t> </w:t>
      </w:r>
    </w:p>
    <w:tbl>
      <w:tblPr>
        <w:tblW w:w="10205" w:type="dxa"/>
        <w:jc w:val="left"/>
        <w:tblInd w:w="0" w:type="dxa"/>
        <w:tblLayout w:type="fixed"/>
        <w:tblCellMar>
          <w:top w:w="28" w:type="dxa"/>
          <w:left w:w="28" w:type="dxa"/>
          <w:bottom w:w="28" w:type="dxa"/>
          <w:right w:w="28" w:type="dxa"/>
        </w:tblCellMar>
      </w:tblPr>
      <w:tblGrid>
        <w:gridCol w:w="6207"/>
        <w:gridCol w:w="1917"/>
        <w:gridCol w:w="518"/>
        <w:gridCol w:w="371"/>
        <w:gridCol w:w="1192"/>
      </w:tblGrid>
      <w:tr>
        <w:trPr/>
        <w:tc>
          <w:tcPr>
            <w:tcW w:w="6207"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3"/>
              </w:rPr>
            </w:pPr>
            <w:r>
              <w:rPr>
                <w:rFonts w:ascii="sans-serif" w:hAnsi="sans-serif"/>
                <w:b/>
                <w:color w:val="000000"/>
                <w:sz w:val="23"/>
              </w:rPr>
              <w:t>KUBRA HOLDINGS, INC. AND SUBSIDIARIES, AND KUBRA DATATRANSFER LTD.</w:t>
            </w:r>
          </w:p>
        </w:tc>
      </w:tr>
      <w:tr>
        <w:trPr/>
        <w:tc>
          <w:tcPr>
            <w:tcW w:w="10205" w:type="dxa"/>
            <w:gridSpan w:val="5"/>
            <w:tcBorders/>
            <w:tcMar>
              <w:top w:w="0" w:type="dxa"/>
              <w:left w:w="0" w:type="dxa"/>
              <w:bottom w:w="0" w:type="dxa"/>
              <w:right w:w="0" w:type="dxa"/>
            </w:tcMar>
            <w:vAlign w:val="center"/>
          </w:tcPr>
          <w:p>
            <w:pPr>
              <w:pStyle w:val="TableContents"/>
              <w:bidi w:val="0"/>
              <w:spacing w:before="27" w:after="283"/>
              <w:jc w:val="left"/>
              <w:rPr>
                <w:rFonts w:ascii="Times New Roman" w:hAnsi="Times New Roman"/>
                <w:sz w:val="23"/>
              </w:rPr>
            </w:pPr>
            <w:r>
              <w:rPr>
                <w:rFonts w:ascii="sans-serif" w:hAnsi="sans-serif"/>
                <w:b/>
                <w:color w:val="000000"/>
                <w:sz w:val="23"/>
              </w:rPr>
              <w:t>CONDENSED COMBINED AND CONSOLIDATED STATEMENTS OF CASH FLOWS</w:t>
            </w:r>
            <w:r>
              <w:rPr>
                <w:rFonts w:ascii="Times New Roman" w:hAnsi="Times New Roman"/>
                <w:color w:val="000000"/>
                <w:sz w:val="23"/>
              </w:rPr>
              <w:t xml:space="preserve"> </w:t>
            </w:r>
          </w:p>
        </w:tc>
      </w:tr>
      <w:tr>
        <w:trPr/>
        <w:tc>
          <w:tcPr>
            <w:tcW w:w="10205" w:type="dxa"/>
            <w:gridSpan w:val="5"/>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23"/>
              </w:rPr>
            </w:pPr>
            <w:r>
              <w:rPr>
                <w:rFonts w:ascii="sans-serif" w:hAnsi="sans-serif"/>
                <w:b/>
                <w:color w:val="000000"/>
                <w:sz w:val="23"/>
              </w:rPr>
              <w:t>FOR THE THREE MONTHS ENDED MARCH 31, 2026 AND 2025 (UNAUDITED)</w:t>
            </w:r>
          </w:p>
        </w:tc>
      </w:tr>
      <w:tr>
        <w:trPr/>
        <w:tc>
          <w:tcPr>
            <w:tcW w:w="6207" w:type="dxa"/>
            <w:tcBorders/>
            <w:tcMar>
              <w:top w:w="0" w:type="dxa"/>
              <w:left w:w="0" w:type="dxa"/>
              <w:bottom w:w="0" w:type="dxa"/>
              <w:right w:w="0" w:type="dxa"/>
            </w:tcMar>
            <w:vAlign w:val="center"/>
          </w:tcPr>
          <w:p>
            <w:pPr>
              <w:pStyle w:val="TableContents"/>
              <w:bidi w:val="0"/>
              <w:spacing w:before="0" w:after="283"/>
              <w:ind w:left="0" w:right="0" w:firstLine="290"/>
              <w:jc w:val="left"/>
              <w:rPr/>
            </w:pPr>
            <w:r>
              <w:rPr/>
              <w:t> </w:t>
            </w:r>
          </w:p>
        </w:tc>
        <w:tc>
          <w:tcPr>
            <w:tcW w:w="1917" w:type="dxa"/>
            <w:tcBorders/>
            <w:tcMar>
              <w:top w:w="0" w:type="dxa"/>
              <w:left w:w="0" w:type="dxa"/>
              <w:bottom w:w="0" w:type="dxa"/>
              <w:right w:w="0" w:type="dxa"/>
            </w:tcMar>
            <w:vAlign w:val="center"/>
          </w:tcPr>
          <w:p>
            <w:pPr>
              <w:pStyle w:val="TableContents"/>
              <w:bidi w:val="0"/>
              <w:spacing w:before="57" w:after="283"/>
              <w:ind w:left="0" w:right="0" w:firstLine="290"/>
              <w:jc w:val="center"/>
              <w:rPr>
                <w:rFonts w:ascii="sans-serif" w:hAnsi="sans-serif"/>
                <w:b/>
                <w:color w:val="000000"/>
                <w:sz w:val="18"/>
              </w:rPr>
            </w:pPr>
            <w:r>
              <w:rPr>
                <w:rFonts w:ascii="sans-serif" w:hAnsi="sans-serif"/>
                <w:b/>
                <w:color w:val="000000"/>
                <w:sz w:val="18"/>
              </w:rPr>
              <w:t>2026</w:t>
            </w:r>
          </w:p>
        </w:tc>
        <w:tc>
          <w:tcPr>
            <w:tcW w:w="518" w:type="dxa"/>
            <w:tcBorders/>
            <w:tcMar>
              <w:top w:w="0" w:type="dxa"/>
              <w:left w:w="0" w:type="dxa"/>
              <w:bottom w:w="0" w:type="dxa"/>
              <w:right w:w="0" w:type="dxa"/>
            </w:tcMar>
            <w:vAlign w:val="center"/>
          </w:tcPr>
          <w:p>
            <w:pPr>
              <w:pStyle w:val="TableContents"/>
              <w:bidi w:val="0"/>
              <w:spacing w:before="57" w:after="283"/>
              <w:ind w:left="0" w:right="0" w:firstLine="290"/>
              <w:jc w:val="center"/>
              <w:rPr/>
            </w:pPr>
            <w:r>
              <w:rPr/>
              <w:t> </w:t>
            </w:r>
          </w:p>
        </w:tc>
        <w:tc>
          <w:tcPr>
            <w:tcW w:w="1563" w:type="dxa"/>
            <w:gridSpan w:val="2"/>
            <w:tcBorders/>
            <w:tcMar>
              <w:top w:w="0" w:type="dxa"/>
              <w:left w:w="0" w:type="dxa"/>
              <w:bottom w:w="0" w:type="dxa"/>
              <w:right w:w="0" w:type="dxa"/>
            </w:tcMar>
            <w:vAlign w:val="center"/>
          </w:tcPr>
          <w:p>
            <w:pPr>
              <w:pStyle w:val="TableContents"/>
              <w:bidi w:val="0"/>
              <w:spacing w:before="57" w:after="283"/>
              <w:ind w:left="0" w:right="0" w:firstLine="78"/>
              <w:jc w:val="center"/>
              <w:rPr>
                <w:rFonts w:ascii="sans-serif" w:hAnsi="sans-serif"/>
                <w:b/>
                <w:color w:val="000000"/>
                <w:sz w:val="18"/>
              </w:rPr>
            </w:pPr>
            <w:r>
              <w:rPr>
                <w:rFonts w:ascii="sans-serif" w:hAnsi="sans-serif"/>
                <w:b/>
                <w:color w:val="000000"/>
                <w:sz w:val="18"/>
              </w:rPr>
              <w:t>2025</w:t>
            </w:r>
          </w:p>
        </w:tc>
      </w:tr>
      <w:tr>
        <w:trPr/>
        <w:tc>
          <w:tcPr>
            <w:tcW w:w="6207" w:type="dxa"/>
            <w:tcBorders/>
            <w:tcMar>
              <w:top w:w="0" w:type="dxa"/>
              <w:left w:w="0" w:type="dxa"/>
              <w:bottom w:w="0" w:type="dxa"/>
              <w:right w:w="0" w:type="dxa"/>
            </w:tcMar>
            <w:vAlign w:val="center"/>
          </w:tcPr>
          <w:p>
            <w:pPr>
              <w:pStyle w:val="TableContents"/>
              <w:bidi w:val="0"/>
              <w:spacing w:before="125" w:after="283"/>
              <w:ind w:left="0" w:right="0" w:firstLine="78"/>
              <w:jc w:val="left"/>
              <w:rPr>
                <w:rFonts w:ascii="sans-serif" w:hAnsi="sans-serif"/>
                <w:b/>
                <w:color w:val="000000"/>
                <w:sz w:val="18"/>
              </w:rPr>
            </w:pPr>
            <w:r>
              <w:rPr>
                <w:rFonts w:ascii="sans-serif" w:hAnsi="sans-serif"/>
                <w:b/>
                <w:color w:val="000000"/>
                <w:sz w:val="18"/>
              </w:rPr>
              <w:t>CASH FLOWS FROM OPERATING ACTIVITIES:</w:t>
            </w:r>
          </w:p>
        </w:tc>
        <w:tc>
          <w:tcPr>
            <w:tcW w:w="1917" w:type="dxa"/>
            <w:tcBorders/>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148"/>
              <w:jc w:val="left"/>
              <w:rPr/>
            </w:pPr>
            <w:r>
              <w:rPr/>
              <w:t> </w:t>
            </w:r>
          </w:p>
        </w:tc>
      </w:tr>
      <w:tr>
        <w:trPr/>
        <w:tc>
          <w:tcPr>
            <w:tcW w:w="6207" w:type="dxa"/>
            <w:tcBorders/>
            <w:tcMar>
              <w:top w:w="0" w:type="dxa"/>
              <w:left w:w="0" w:type="dxa"/>
              <w:bottom w:w="0" w:type="dxa"/>
              <w:right w:w="0" w:type="dxa"/>
            </w:tcMar>
            <w:vAlign w:val="center"/>
          </w:tcPr>
          <w:p>
            <w:pPr>
              <w:pStyle w:val="TableContents"/>
              <w:bidi w:val="0"/>
              <w:spacing w:before="0" w:after="283"/>
              <w:ind w:left="0" w:right="0" w:firstLine="307"/>
              <w:jc w:val="left"/>
              <w:rPr>
                <w:rFonts w:ascii="sans-serif" w:hAnsi="sans-serif"/>
                <w:b/>
                <w:color w:val="000000"/>
                <w:sz w:val="18"/>
              </w:rPr>
            </w:pPr>
            <w:r>
              <w:rPr>
                <w:rFonts w:ascii="sans-serif" w:hAnsi="sans-serif"/>
                <w:b/>
                <w:color w:val="000000"/>
                <w:sz w:val="18"/>
              </w:rPr>
              <w:t>Net income</w:t>
            </w:r>
          </w:p>
        </w:tc>
        <w:tc>
          <w:tcPr>
            <w:tcW w:w="1917" w:type="dxa"/>
            <w:tcBorders/>
            <w:tcMar>
              <w:top w:w="0" w:type="dxa"/>
              <w:left w:w="0" w:type="dxa"/>
              <w:bottom w:w="0" w:type="dxa"/>
              <w:right w:w="0" w:type="dxa"/>
            </w:tcMar>
            <w:vAlign w:val="center"/>
          </w:tcPr>
          <w:p>
            <w:pPr>
              <w:pStyle w:val="TableContents"/>
              <w:bidi w:val="0"/>
              <w:spacing w:before="11" w:after="283"/>
              <w:ind w:left="0" w:right="0" w:firstLine="307"/>
              <w:jc w:val="right"/>
              <w:rPr>
                <w:rFonts w:ascii="sans-serif" w:hAnsi="sans-serif"/>
                <w:color w:val="000000"/>
                <w:sz w:val="18"/>
              </w:rPr>
            </w:pPr>
            <w:r>
              <w:rPr>
                <w:rFonts w:ascii="sans-serif" w:hAnsi="sans-serif"/>
                <w:color w:val="000000"/>
                <w:sz w:val="18"/>
              </w:rPr>
              <w:t>1,883,617</w:t>
            </w:r>
          </w:p>
        </w:tc>
        <w:tc>
          <w:tcPr>
            <w:tcW w:w="518" w:type="dxa"/>
            <w:tcBorders/>
            <w:tcMar>
              <w:top w:w="0" w:type="dxa"/>
              <w:left w:w="0" w:type="dxa"/>
              <w:bottom w:w="0" w:type="dxa"/>
              <w:right w:w="0" w:type="dxa"/>
            </w:tcMar>
            <w:vAlign w:val="center"/>
          </w:tcPr>
          <w:p>
            <w:pPr>
              <w:pStyle w:val="TableContents"/>
              <w:bidi w:val="0"/>
              <w:spacing w:before="11"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11" w:after="283"/>
              <w:ind w:left="0" w:right="0" w:firstLine="148"/>
              <w:jc w:val="right"/>
              <w:rPr>
                <w:rFonts w:ascii="sans-serif" w:hAnsi="sans-serif"/>
                <w:color w:val="000000"/>
                <w:sz w:val="18"/>
              </w:rPr>
            </w:pPr>
            <w:r>
              <w:rPr>
                <w:rFonts w:ascii="sans-serif" w:hAnsi="sans-serif"/>
                <w:color w:val="000000"/>
                <w:sz w:val="18"/>
              </w:rPr>
              <w:t>(651,730)</w:t>
            </w:r>
          </w:p>
        </w:tc>
      </w:tr>
      <w:tr>
        <w:trPr/>
        <w:tc>
          <w:tcPr>
            <w:tcW w:w="9013" w:type="dxa"/>
            <w:gridSpan w:val="4"/>
            <w:tcBorders/>
            <w:tcMar>
              <w:top w:w="0" w:type="dxa"/>
              <w:left w:w="0" w:type="dxa"/>
              <w:bottom w:w="0" w:type="dxa"/>
              <w:right w:w="0" w:type="dxa"/>
            </w:tcMar>
            <w:vAlign w:val="center"/>
          </w:tcPr>
          <w:p>
            <w:pPr>
              <w:pStyle w:val="TableContents"/>
              <w:bidi w:val="0"/>
              <w:spacing w:before="0" w:after="283"/>
              <w:ind w:left="0" w:right="0" w:firstLine="148"/>
              <w:jc w:val="left"/>
              <w:rPr>
                <w:rFonts w:ascii="sans-serif" w:hAnsi="sans-serif"/>
                <w:color w:val="000000"/>
                <w:sz w:val="18"/>
              </w:rPr>
            </w:pPr>
            <w:r>
              <w:rPr>
                <w:rFonts w:ascii="sans-serif" w:hAnsi="sans-serif"/>
                <w:color w:val="000000"/>
                <w:sz w:val="18"/>
              </w:rPr>
              <w:t>Adjustments to reconcile net income to net cash provided by operating activities:</w:t>
            </w:r>
          </w:p>
        </w:tc>
        <w:tc>
          <w:tcPr>
            <w:tcW w:w="1192" w:type="dxa"/>
            <w:tcBorders/>
            <w:tcMar>
              <w:top w:w="0" w:type="dxa"/>
              <w:left w:w="0" w:type="dxa"/>
              <w:bottom w:w="0" w:type="dxa"/>
              <w:right w:w="0" w:type="dxa"/>
            </w:tcMar>
            <w:vAlign w:val="center"/>
          </w:tcPr>
          <w:p>
            <w:pPr>
              <w:pStyle w:val="TableContents"/>
              <w:bidi w:val="0"/>
              <w:spacing w:before="0" w:after="283"/>
              <w:ind w:left="0" w:right="0" w:firstLine="217"/>
              <w:jc w:val="left"/>
              <w:rPr>
                <w:sz w:val="4"/>
                <w:szCs w:val="4"/>
              </w:rPr>
            </w:pPr>
            <w:r>
              <w:rPr>
                <w:sz w:val="4"/>
                <w:szCs w:val="4"/>
              </w:rPr>
            </w:r>
          </w:p>
        </w:tc>
      </w:tr>
      <w:tr>
        <w:trPr/>
        <w:tc>
          <w:tcPr>
            <w:tcW w:w="6207" w:type="dxa"/>
            <w:tcBorders/>
            <w:tcMar>
              <w:top w:w="0" w:type="dxa"/>
              <w:left w:w="0" w:type="dxa"/>
              <w:bottom w:w="0" w:type="dxa"/>
              <w:right w:w="0" w:type="dxa"/>
            </w:tcMar>
            <w:vAlign w:val="center"/>
          </w:tcPr>
          <w:p>
            <w:pPr>
              <w:pStyle w:val="TableContents"/>
              <w:bidi w:val="0"/>
              <w:spacing w:before="9" w:after="283"/>
              <w:ind w:left="0" w:right="0" w:firstLine="398"/>
              <w:jc w:val="left"/>
              <w:rPr>
                <w:rFonts w:ascii="sans-serif" w:hAnsi="sans-serif"/>
                <w:color w:val="000000"/>
                <w:sz w:val="18"/>
              </w:rPr>
            </w:pPr>
            <w:r>
              <w:rPr>
                <w:rFonts w:ascii="sans-serif" w:hAnsi="sans-serif"/>
                <w:color w:val="000000"/>
                <w:sz w:val="18"/>
              </w:rPr>
              <w:t>Depreciation and amortization</w:t>
            </w:r>
          </w:p>
        </w:tc>
        <w:tc>
          <w:tcPr>
            <w:tcW w:w="1917" w:type="dxa"/>
            <w:tcBorders/>
            <w:tcMar>
              <w:top w:w="0" w:type="dxa"/>
              <w:left w:w="0" w:type="dxa"/>
              <w:bottom w:w="0" w:type="dxa"/>
              <w:right w:w="0" w:type="dxa"/>
            </w:tcMar>
            <w:vAlign w:val="center"/>
          </w:tcPr>
          <w:p>
            <w:pPr>
              <w:pStyle w:val="TableContents"/>
              <w:bidi w:val="0"/>
              <w:spacing w:before="9" w:after="283"/>
              <w:ind w:left="0" w:right="0" w:firstLine="398"/>
              <w:jc w:val="right"/>
              <w:rPr>
                <w:rFonts w:ascii="sans-serif" w:hAnsi="sans-serif"/>
                <w:color w:val="000000"/>
                <w:sz w:val="18"/>
              </w:rPr>
            </w:pPr>
            <w:r>
              <w:rPr>
                <w:rFonts w:ascii="sans-serif" w:hAnsi="sans-serif"/>
                <w:color w:val="000000"/>
                <w:sz w:val="18"/>
              </w:rPr>
              <w:t>6,063,039</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217"/>
              <w:jc w:val="right"/>
              <w:rPr>
                <w:rFonts w:ascii="sans-serif" w:hAnsi="sans-serif"/>
                <w:color w:val="000000"/>
                <w:sz w:val="18"/>
              </w:rPr>
            </w:pPr>
            <w:r>
              <w:rPr>
                <w:rFonts w:ascii="sans-serif" w:hAnsi="sans-serif"/>
                <w:color w:val="000000"/>
                <w:sz w:val="18"/>
              </w:rPr>
              <w:t>5,999,682</w:t>
            </w:r>
          </w:p>
        </w:tc>
      </w:tr>
      <w:tr>
        <w:trPr/>
        <w:tc>
          <w:tcPr>
            <w:tcW w:w="6207" w:type="dxa"/>
            <w:tcBorders/>
            <w:tcMar>
              <w:top w:w="0" w:type="dxa"/>
              <w:left w:w="0" w:type="dxa"/>
              <w:bottom w:w="0" w:type="dxa"/>
              <w:right w:w="0" w:type="dxa"/>
            </w:tcMar>
            <w:vAlign w:val="center"/>
          </w:tcPr>
          <w:p>
            <w:pPr>
              <w:pStyle w:val="TableContents"/>
              <w:bidi w:val="0"/>
              <w:spacing w:before="0" w:after="283"/>
              <w:ind w:left="0" w:right="0" w:firstLine="217"/>
              <w:jc w:val="left"/>
              <w:rPr>
                <w:rFonts w:ascii="sans-serif" w:hAnsi="sans-serif"/>
                <w:color w:val="000000"/>
                <w:sz w:val="18"/>
              </w:rPr>
            </w:pPr>
            <w:r>
              <w:rPr>
                <w:rFonts w:ascii="sans-serif" w:hAnsi="sans-serif"/>
                <w:color w:val="000000"/>
                <w:sz w:val="18"/>
              </w:rPr>
              <w:t>Non-cash lease expense—operating leases</w:t>
            </w:r>
          </w:p>
        </w:tc>
        <w:tc>
          <w:tcPr>
            <w:tcW w:w="1917" w:type="dxa"/>
            <w:tcBorders/>
            <w:tcMar>
              <w:top w:w="0" w:type="dxa"/>
              <w:left w:w="0" w:type="dxa"/>
              <w:bottom w:w="0" w:type="dxa"/>
              <w:right w:w="0" w:type="dxa"/>
            </w:tcMar>
            <w:vAlign w:val="center"/>
          </w:tcPr>
          <w:p>
            <w:pPr>
              <w:pStyle w:val="TableContents"/>
              <w:bidi w:val="0"/>
              <w:spacing w:before="4" w:after="283"/>
              <w:jc w:val="right"/>
              <w:rPr>
                <w:rFonts w:ascii="sans-serif" w:hAnsi="sans-serif"/>
                <w:color w:val="000000"/>
                <w:sz w:val="18"/>
              </w:rPr>
            </w:pPr>
            <w:r>
              <w:rPr>
                <w:rFonts w:ascii="sans-serif" w:hAnsi="sans-serif"/>
                <w:color w:val="000000"/>
                <w:sz w:val="18"/>
              </w:rPr>
              <w:t>(25,389)</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217"/>
              <w:jc w:val="right"/>
              <w:rPr>
                <w:rFonts w:ascii="sans-serif" w:hAnsi="sans-serif"/>
                <w:color w:val="000000"/>
                <w:sz w:val="18"/>
              </w:rPr>
            </w:pPr>
            <w:r>
              <w:rPr>
                <w:rFonts w:ascii="sans-serif" w:hAnsi="sans-serif"/>
                <w:color w:val="000000"/>
                <w:sz w:val="18"/>
              </w:rPr>
              <w:t>(21,018)</w:t>
            </w:r>
          </w:p>
        </w:tc>
      </w:tr>
      <w:tr>
        <w:trPr/>
        <w:tc>
          <w:tcPr>
            <w:tcW w:w="6207" w:type="dxa"/>
            <w:tcBorders/>
            <w:tcMar>
              <w:top w:w="0" w:type="dxa"/>
              <w:left w:w="0" w:type="dxa"/>
              <w:bottom w:w="0" w:type="dxa"/>
              <w:right w:w="0" w:type="dxa"/>
            </w:tcMar>
            <w:vAlign w:val="center"/>
          </w:tcPr>
          <w:p>
            <w:pPr>
              <w:pStyle w:val="TableContents"/>
              <w:bidi w:val="0"/>
              <w:spacing w:before="0" w:after="283"/>
              <w:ind w:left="0" w:right="0" w:firstLine="217"/>
              <w:jc w:val="left"/>
              <w:rPr>
                <w:rFonts w:ascii="sans-serif" w:hAnsi="sans-serif"/>
                <w:color w:val="000000"/>
                <w:sz w:val="18"/>
              </w:rPr>
            </w:pPr>
            <w:r>
              <w:rPr>
                <w:rFonts w:ascii="sans-serif" w:hAnsi="sans-serif"/>
                <w:color w:val="000000"/>
                <w:sz w:val="18"/>
              </w:rPr>
              <w:t>Loss (gain) on disposal of property and equipment</w:t>
            </w:r>
          </w:p>
        </w:tc>
        <w:tc>
          <w:tcPr>
            <w:tcW w:w="1917" w:type="dxa"/>
            <w:tcBorders/>
            <w:tcMar>
              <w:top w:w="0" w:type="dxa"/>
              <w:left w:w="0" w:type="dxa"/>
              <w:bottom w:w="0" w:type="dxa"/>
              <w:right w:w="0" w:type="dxa"/>
            </w:tcMar>
            <w:vAlign w:val="center"/>
          </w:tcPr>
          <w:p>
            <w:pPr>
              <w:pStyle w:val="TableContents"/>
              <w:bidi w:val="0"/>
              <w:spacing w:before="9" w:after="283"/>
              <w:jc w:val="right"/>
              <w:rPr>
                <w:rFonts w:ascii="sans-serif" w:hAnsi="sans-serif"/>
                <w:color w:val="000000"/>
                <w:sz w:val="18"/>
              </w:rPr>
            </w:pPr>
            <w:r>
              <w:rPr>
                <w:rFonts w:ascii="sans-serif" w:hAnsi="sans-serif"/>
                <w:color w:val="000000"/>
                <w:sz w:val="18"/>
              </w:rPr>
              <w:t>(4,500)</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217"/>
              <w:jc w:val="right"/>
              <w:rPr>
                <w:rFonts w:ascii="sans-serif" w:hAnsi="sans-serif"/>
                <w:color w:val="000000"/>
                <w:sz w:val="18"/>
              </w:rPr>
            </w:pPr>
            <w:r>
              <w:rPr>
                <w:rFonts w:ascii="sans-serif" w:hAnsi="sans-serif"/>
                <w:color w:val="000000"/>
                <w:sz w:val="18"/>
              </w:rPr>
              <w:t>-</w:t>
            </w:r>
          </w:p>
        </w:tc>
      </w:tr>
      <w:tr>
        <w:trPr/>
        <w:tc>
          <w:tcPr>
            <w:tcW w:w="6207" w:type="dxa"/>
            <w:tcBorders/>
            <w:tcMar>
              <w:top w:w="0" w:type="dxa"/>
              <w:left w:w="0" w:type="dxa"/>
              <w:bottom w:w="0" w:type="dxa"/>
              <w:right w:w="0" w:type="dxa"/>
            </w:tcMar>
            <w:vAlign w:val="center"/>
          </w:tcPr>
          <w:p>
            <w:pPr>
              <w:pStyle w:val="TableContents"/>
              <w:bidi w:val="0"/>
              <w:spacing w:before="0" w:after="283"/>
              <w:ind w:left="0" w:right="0" w:firstLine="217"/>
              <w:jc w:val="left"/>
              <w:rPr>
                <w:rFonts w:ascii="sans-serif" w:hAnsi="sans-serif"/>
                <w:color w:val="000000"/>
                <w:sz w:val="18"/>
              </w:rPr>
            </w:pPr>
            <w:r>
              <w:rPr>
                <w:rFonts w:ascii="sans-serif" w:hAnsi="sans-serif"/>
                <w:color w:val="000000"/>
                <w:sz w:val="18"/>
              </w:rPr>
              <w:t>Non-cash interest expense</w:t>
            </w:r>
          </w:p>
        </w:tc>
        <w:tc>
          <w:tcPr>
            <w:tcW w:w="1917" w:type="dxa"/>
            <w:tcBorders/>
            <w:tcMar>
              <w:top w:w="0" w:type="dxa"/>
              <w:left w:w="0" w:type="dxa"/>
              <w:bottom w:w="0" w:type="dxa"/>
              <w:right w:w="0" w:type="dxa"/>
            </w:tcMar>
            <w:vAlign w:val="center"/>
          </w:tcPr>
          <w:p>
            <w:pPr>
              <w:pStyle w:val="TableContents"/>
              <w:bidi w:val="0"/>
              <w:spacing w:before="9" w:after="283"/>
              <w:jc w:val="right"/>
              <w:rPr>
                <w:rFonts w:ascii="sans-serif" w:hAnsi="sans-serif"/>
                <w:color w:val="000000"/>
                <w:sz w:val="18"/>
              </w:rPr>
            </w:pPr>
            <w:r>
              <w:rPr>
                <w:rFonts w:ascii="sans-serif" w:hAnsi="sans-serif"/>
                <w:color w:val="000000"/>
                <w:sz w:val="18"/>
              </w:rPr>
              <w:t>124,572</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217"/>
              <w:jc w:val="right"/>
              <w:rPr>
                <w:rFonts w:ascii="sans-serif" w:hAnsi="sans-serif"/>
                <w:color w:val="000000"/>
                <w:sz w:val="18"/>
              </w:rPr>
            </w:pPr>
            <w:r>
              <w:rPr>
                <w:rFonts w:ascii="sans-serif" w:hAnsi="sans-serif"/>
                <w:color w:val="000000"/>
                <w:sz w:val="18"/>
              </w:rPr>
              <w:t>108,017</w:t>
            </w:r>
          </w:p>
        </w:tc>
      </w:tr>
      <w:tr>
        <w:trPr/>
        <w:tc>
          <w:tcPr>
            <w:tcW w:w="6207" w:type="dxa"/>
            <w:tcBorders/>
            <w:tcMar>
              <w:top w:w="0" w:type="dxa"/>
              <w:left w:w="0" w:type="dxa"/>
              <w:bottom w:w="0" w:type="dxa"/>
              <w:right w:w="0" w:type="dxa"/>
            </w:tcMar>
            <w:vAlign w:val="center"/>
          </w:tcPr>
          <w:p>
            <w:pPr>
              <w:pStyle w:val="TableContents"/>
              <w:bidi w:val="0"/>
              <w:spacing w:before="0" w:after="283"/>
              <w:ind w:left="0" w:right="0" w:firstLine="217"/>
              <w:jc w:val="left"/>
              <w:rPr>
                <w:rFonts w:ascii="sans-serif" w:hAnsi="sans-serif"/>
                <w:color w:val="000000"/>
                <w:sz w:val="18"/>
              </w:rPr>
            </w:pPr>
            <w:r>
              <w:rPr>
                <w:rFonts w:ascii="sans-serif" w:hAnsi="sans-serif"/>
                <w:color w:val="000000"/>
                <w:sz w:val="18"/>
              </w:rPr>
              <w:t>Deferred taxes</w:t>
            </w:r>
          </w:p>
        </w:tc>
        <w:tc>
          <w:tcPr>
            <w:tcW w:w="1917" w:type="dxa"/>
            <w:tcBorders/>
            <w:tcMar>
              <w:top w:w="0" w:type="dxa"/>
              <w:left w:w="0" w:type="dxa"/>
              <w:bottom w:w="0" w:type="dxa"/>
              <w:right w:w="0" w:type="dxa"/>
            </w:tcMar>
            <w:vAlign w:val="center"/>
          </w:tcPr>
          <w:p>
            <w:pPr>
              <w:pStyle w:val="TableContents"/>
              <w:bidi w:val="0"/>
              <w:spacing w:before="9" w:after="283"/>
              <w:jc w:val="right"/>
              <w:rPr>
                <w:rFonts w:ascii="sans-serif" w:hAnsi="sans-serif"/>
                <w:color w:val="000000"/>
                <w:sz w:val="18"/>
              </w:rPr>
            </w:pPr>
            <w:r>
              <w:rPr>
                <w:rFonts w:ascii="sans-serif" w:hAnsi="sans-serif"/>
                <w:color w:val="000000"/>
                <w:sz w:val="18"/>
              </w:rPr>
              <w:t>(814,875)</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217"/>
              <w:jc w:val="right"/>
              <w:rPr>
                <w:rFonts w:ascii="sans-serif" w:hAnsi="sans-serif"/>
                <w:color w:val="000000"/>
                <w:sz w:val="18"/>
              </w:rPr>
            </w:pPr>
            <w:r>
              <w:rPr>
                <w:rFonts w:ascii="sans-serif" w:hAnsi="sans-serif"/>
                <w:color w:val="000000"/>
                <w:sz w:val="18"/>
              </w:rPr>
              <w:t>(814,875)</w:t>
            </w:r>
          </w:p>
        </w:tc>
      </w:tr>
      <w:tr>
        <w:trPr/>
        <w:tc>
          <w:tcPr>
            <w:tcW w:w="6207" w:type="dxa"/>
            <w:tcBorders/>
            <w:tcMar>
              <w:top w:w="0" w:type="dxa"/>
              <w:left w:w="0" w:type="dxa"/>
              <w:bottom w:w="0" w:type="dxa"/>
              <w:right w:w="0" w:type="dxa"/>
            </w:tcMar>
            <w:vAlign w:val="center"/>
          </w:tcPr>
          <w:p>
            <w:pPr>
              <w:pStyle w:val="TableContents"/>
              <w:bidi w:val="0"/>
              <w:spacing w:before="0" w:after="283"/>
              <w:ind w:left="0" w:right="0" w:firstLine="217"/>
              <w:jc w:val="left"/>
              <w:rPr>
                <w:rFonts w:ascii="sans-serif" w:hAnsi="sans-serif"/>
                <w:color w:val="000000"/>
                <w:sz w:val="18"/>
              </w:rPr>
            </w:pPr>
            <w:r>
              <w:rPr>
                <w:rFonts w:ascii="sans-serif" w:hAnsi="sans-serif"/>
                <w:color w:val="000000"/>
                <w:sz w:val="18"/>
              </w:rPr>
              <w:t>Changes in operating assets and liabilities:</w:t>
            </w:r>
          </w:p>
        </w:tc>
        <w:tc>
          <w:tcPr>
            <w:tcW w:w="1917" w:type="dxa"/>
            <w:tcBorders/>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290"/>
              <w:jc w:val="right"/>
              <w:rPr/>
            </w:pPr>
            <w:r>
              <w:rPr/>
              <w:t> </w:t>
            </w:r>
          </w:p>
        </w:tc>
      </w:tr>
      <w:tr>
        <w:trPr/>
        <w:tc>
          <w:tcPr>
            <w:tcW w:w="6207" w:type="dxa"/>
            <w:tcBorders/>
            <w:tcMar>
              <w:top w:w="0" w:type="dxa"/>
              <w:left w:w="0" w:type="dxa"/>
              <w:bottom w:w="0" w:type="dxa"/>
              <w:right w:w="0" w:type="dxa"/>
            </w:tcMar>
            <w:vAlign w:val="center"/>
          </w:tcPr>
          <w:p>
            <w:pPr>
              <w:pStyle w:val="TableContents"/>
              <w:bidi w:val="0"/>
              <w:spacing w:before="9" w:after="283"/>
              <w:ind w:left="0" w:right="0" w:firstLine="290"/>
              <w:jc w:val="left"/>
              <w:rPr>
                <w:rFonts w:ascii="sans-serif" w:hAnsi="sans-serif"/>
                <w:color w:val="000000"/>
                <w:sz w:val="18"/>
              </w:rPr>
            </w:pPr>
            <w:r>
              <w:rPr>
                <w:rFonts w:ascii="sans-serif" w:hAnsi="sans-serif"/>
                <w:color w:val="000000"/>
                <w:sz w:val="18"/>
              </w:rPr>
              <w:t>Accounts receivable</w:t>
            </w:r>
          </w:p>
        </w:tc>
        <w:tc>
          <w:tcPr>
            <w:tcW w:w="1917" w:type="dxa"/>
            <w:tcBorders/>
            <w:tcMar>
              <w:top w:w="0" w:type="dxa"/>
              <w:left w:w="0" w:type="dxa"/>
              <w:bottom w:w="0" w:type="dxa"/>
              <w:right w:w="0" w:type="dxa"/>
            </w:tcMar>
            <w:vAlign w:val="center"/>
          </w:tcPr>
          <w:p>
            <w:pPr>
              <w:pStyle w:val="TableContents"/>
              <w:bidi w:val="0"/>
              <w:spacing w:before="9" w:after="283"/>
              <w:jc w:val="right"/>
              <w:rPr>
                <w:rFonts w:ascii="sans-serif" w:hAnsi="sans-serif"/>
                <w:color w:val="000000"/>
                <w:sz w:val="18"/>
              </w:rPr>
            </w:pPr>
            <w:r>
              <w:rPr>
                <w:rFonts w:ascii="sans-serif" w:hAnsi="sans-serif"/>
                <w:color w:val="000000"/>
                <w:sz w:val="18"/>
              </w:rPr>
              <w:t>(3,966,833)</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290"/>
              <w:jc w:val="right"/>
              <w:rPr>
                <w:rFonts w:ascii="sans-serif" w:hAnsi="sans-serif"/>
                <w:color w:val="000000"/>
                <w:sz w:val="18"/>
              </w:rPr>
            </w:pPr>
            <w:r>
              <w:rPr>
                <w:rFonts w:ascii="sans-serif" w:hAnsi="sans-serif"/>
                <w:color w:val="000000"/>
                <w:sz w:val="18"/>
              </w:rPr>
              <w:t>2,577,144</w:t>
            </w:r>
          </w:p>
        </w:tc>
      </w:tr>
      <w:tr>
        <w:trPr/>
        <w:tc>
          <w:tcPr>
            <w:tcW w:w="6207" w:type="dxa"/>
            <w:tcBorders/>
            <w:tcMar>
              <w:top w:w="0" w:type="dxa"/>
              <w:left w:w="0" w:type="dxa"/>
              <w:bottom w:w="0" w:type="dxa"/>
              <w:right w:w="0" w:type="dxa"/>
            </w:tcMar>
            <w:vAlign w:val="center"/>
          </w:tcPr>
          <w:p>
            <w:pPr>
              <w:pStyle w:val="TableContents"/>
              <w:bidi w:val="0"/>
              <w:spacing w:before="0" w:after="283"/>
              <w:ind w:left="0" w:right="0" w:firstLine="290"/>
              <w:jc w:val="left"/>
              <w:rPr>
                <w:rFonts w:ascii="sans-serif" w:hAnsi="sans-serif"/>
                <w:color w:val="000000"/>
                <w:sz w:val="18"/>
              </w:rPr>
            </w:pPr>
            <w:r>
              <w:rPr>
                <w:rFonts w:ascii="sans-serif" w:hAnsi="sans-serif"/>
                <w:color w:val="000000"/>
                <w:sz w:val="18"/>
              </w:rPr>
              <w:t>Prepaid expenses and other current assets</w:t>
            </w:r>
          </w:p>
        </w:tc>
        <w:tc>
          <w:tcPr>
            <w:tcW w:w="1917" w:type="dxa"/>
            <w:tcBorders/>
            <w:tcMar>
              <w:top w:w="0" w:type="dxa"/>
              <w:left w:w="0" w:type="dxa"/>
              <w:bottom w:w="0" w:type="dxa"/>
              <w:right w:w="0" w:type="dxa"/>
            </w:tcMar>
            <w:vAlign w:val="center"/>
          </w:tcPr>
          <w:p>
            <w:pPr>
              <w:pStyle w:val="TableContents"/>
              <w:bidi w:val="0"/>
              <w:spacing w:before="5" w:after="283"/>
              <w:jc w:val="right"/>
              <w:rPr>
                <w:rFonts w:ascii="sans-serif" w:hAnsi="sans-serif"/>
                <w:color w:val="000000"/>
                <w:sz w:val="18"/>
              </w:rPr>
            </w:pPr>
            <w:r>
              <w:rPr>
                <w:rFonts w:ascii="sans-serif" w:hAnsi="sans-serif"/>
                <w:color w:val="000000"/>
                <w:sz w:val="18"/>
              </w:rPr>
              <w:t>(1,264,096)</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290"/>
              <w:jc w:val="right"/>
              <w:rPr>
                <w:rFonts w:ascii="sans-serif" w:hAnsi="sans-serif"/>
                <w:color w:val="000000"/>
                <w:sz w:val="18"/>
              </w:rPr>
            </w:pPr>
            <w:r>
              <w:rPr>
                <w:rFonts w:ascii="sans-serif" w:hAnsi="sans-serif"/>
                <w:color w:val="000000"/>
                <w:sz w:val="18"/>
              </w:rPr>
              <w:t>2,135</w:t>
            </w:r>
          </w:p>
        </w:tc>
      </w:tr>
      <w:tr>
        <w:trPr/>
        <w:tc>
          <w:tcPr>
            <w:tcW w:w="6207" w:type="dxa"/>
            <w:tcBorders/>
            <w:tcMar>
              <w:top w:w="0" w:type="dxa"/>
              <w:left w:w="0" w:type="dxa"/>
              <w:bottom w:w="0" w:type="dxa"/>
              <w:right w:w="0" w:type="dxa"/>
            </w:tcMar>
            <w:vAlign w:val="center"/>
          </w:tcPr>
          <w:p>
            <w:pPr>
              <w:pStyle w:val="TableContents"/>
              <w:bidi w:val="0"/>
              <w:spacing w:before="1" w:after="283"/>
              <w:ind w:left="0" w:right="0" w:firstLine="290"/>
              <w:jc w:val="left"/>
              <w:rPr>
                <w:rFonts w:ascii="sans-serif" w:hAnsi="sans-serif"/>
                <w:color w:val="000000"/>
                <w:sz w:val="18"/>
              </w:rPr>
            </w:pPr>
            <w:r>
              <w:rPr>
                <w:rFonts w:ascii="sans-serif" w:hAnsi="sans-serif"/>
                <w:color w:val="000000"/>
                <w:sz w:val="18"/>
              </w:rPr>
              <w:t>Inventories</w:t>
            </w:r>
          </w:p>
        </w:tc>
        <w:tc>
          <w:tcPr>
            <w:tcW w:w="1917" w:type="dxa"/>
            <w:tcBorders/>
            <w:tcMar>
              <w:top w:w="0" w:type="dxa"/>
              <w:left w:w="0" w:type="dxa"/>
              <w:bottom w:w="0" w:type="dxa"/>
              <w:right w:w="0" w:type="dxa"/>
            </w:tcMar>
            <w:vAlign w:val="center"/>
          </w:tcPr>
          <w:p>
            <w:pPr>
              <w:pStyle w:val="TableContents"/>
              <w:bidi w:val="0"/>
              <w:spacing w:before="10" w:after="283"/>
              <w:jc w:val="right"/>
              <w:rPr>
                <w:rFonts w:ascii="sans-serif" w:hAnsi="sans-serif"/>
                <w:color w:val="000000"/>
                <w:sz w:val="18"/>
              </w:rPr>
            </w:pPr>
            <w:r>
              <w:rPr>
                <w:rFonts w:ascii="sans-serif" w:hAnsi="sans-serif"/>
                <w:color w:val="000000"/>
                <w:sz w:val="18"/>
              </w:rPr>
              <w:t>144,206</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290"/>
              <w:jc w:val="right"/>
              <w:rPr>
                <w:rFonts w:ascii="sans-serif" w:hAnsi="sans-serif"/>
                <w:color w:val="000000"/>
                <w:sz w:val="18"/>
              </w:rPr>
            </w:pPr>
            <w:r>
              <w:rPr>
                <w:rFonts w:ascii="sans-serif" w:hAnsi="sans-serif"/>
                <w:color w:val="000000"/>
                <w:sz w:val="18"/>
              </w:rPr>
              <w:t>(122,486)</w:t>
            </w:r>
          </w:p>
        </w:tc>
      </w:tr>
      <w:tr>
        <w:trPr/>
        <w:tc>
          <w:tcPr>
            <w:tcW w:w="6207" w:type="dxa"/>
            <w:tcBorders/>
            <w:tcMar>
              <w:top w:w="0" w:type="dxa"/>
              <w:left w:w="0" w:type="dxa"/>
              <w:bottom w:w="0" w:type="dxa"/>
              <w:right w:w="0" w:type="dxa"/>
            </w:tcMar>
            <w:vAlign w:val="center"/>
          </w:tcPr>
          <w:p>
            <w:pPr>
              <w:pStyle w:val="TableContents"/>
              <w:bidi w:val="0"/>
              <w:spacing w:before="1" w:after="283"/>
              <w:ind w:left="0" w:right="0" w:firstLine="290"/>
              <w:jc w:val="left"/>
              <w:rPr>
                <w:rFonts w:ascii="sans-serif" w:hAnsi="sans-serif"/>
                <w:color w:val="000000"/>
                <w:sz w:val="18"/>
              </w:rPr>
            </w:pPr>
            <w:r>
              <w:rPr>
                <w:rFonts w:ascii="sans-serif" w:hAnsi="sans-serif"/>
                <w:color w:val="000000"/>
                <w:sz w:val="18"/>
              </w:rPr>
              <w:t>Accounts payable and accrued expenses</w:t>
            </w:r>
          </w:p>
        </w:tc>
        <w:tc>
          <w:tcPr>
            <w:tcW w:w="1917" w:type="dxa"/>
            <w:tcBorders/>
            <w:tcMar>
              <w:top w:w="0" w:type="dxa"/>
              <w:left w:w="0" w:type="dxa"/>
              <w:bottom w:w="0" w:type="dxa"/>
              <w:right w:w="0" w:type="dxa"/>
            </w:tcMar>
            <w:vAlign w:val="center"/>
          </w:tcPr>
          <w:p>
            <w:pPr>
              <w:pStyle w:val="TableContents"/>
              <w:bidi w:val="0"/>
              <w:spacing w:before="10" w:after="283"/>
              <w:jc w:val="right"/>
              <w:rPr>
                <w:rFonts w:ascii="sans-serif" w:hAnsi="sans-serif"/>
                <w:color w:val="000000"/>
                <w:sz w:val="18"/>
              </w:rPr>
            </w:pPr>
            <w:r>
              <w:rPr>
                <w:rFonts w:ascii="sans-serif" w:hAnsi="sans-serif"/>
                <w:color w:val="000000"/>
                <w:sz w:val="18"/>
              </w:rPr>
              <w:t>(4,280,796)</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290"/>
              <w:jc w:val="right"/>
              <w:rPr>
                <w:rFonts w:ascii="sans-serif" w:hAnsi="sans-serif"/>
                <w:color w:val="000000"/>
                <w:sz w:val="18"/>
              </w:rPr>
            </w:pPr>
            <w:r>
              <w:rPr>
                <w:rFonts w:ascii="sans-serif" w:hAnsi="sans-serif"/>
                <w:color w:val="000000"/>
                <w:sz w:val="18"/>
              </w:rPr>
              <w:t>(2,115,579)</w:t>
            </w:r>
          </w:p>
        </w:tc>
      </w:tr>
      <w:tr>
        <w:trPr/>
        <w:tc>
          <w:tcPr>
            <w:tcW w:w="6207" w:type="dxa"/>
            <w:tcBorders/>
            <w:tcMar>
              <w:top w:w="0" w:type="dxa"/>
              <w:left w:w="0" w:type="dxa"/>
              <w:bottom w:w="0" w:type="dxa"/>
              <w:right w:w="0" w:type="dxa"/>
            </w:tcMar>
            <w:vAlign w:val="center"/>
          </w:tcPr>
          <w:p>
            <w:pPr>
              <w:pStyle w:val="TableContents"/>
              <w:bidi w:val="0"/>
              <w:spacing w:before="1" w:after="283"/>
              <w:ind w:left="0" w:right="0" w:firstLine="290"/>
              <w:jc w:val="left"/>
              <w:rPr>
                <w:rFonts w:ascii="sans-serif" w:hAnsi="sans-serif"/>
                <w:color w:val="000000"/>
                <w:sz w:val="18"/>
              </w:rPr>
            </w:pPr>
            <w:r>
              <w:rPr>
                <w:rFonts w:ascii="sans-serif" w:hAnsi="sans-serif"/>
                <w:color w:val="000000"/>
                <w:sz w:val="18"/>
              </w:rPr>
              <w:t>Deferred revenue</w:t>
            </w:r>
          </w:p>
        </w:tc>
        <w:tc>
          <w:tcPr>
            <w:tcW w:w="1917" w:type="dxa"/>
            <w:tcBorders/>
            <w:tcMar>
              <w:top w:w="0" w:type="dxa"/>
              <w:left w:w="0" w:type="dxa"/>
              <w:bottom w:w="0" w:type="dxa"/>
              <w:right w:w="0" w:type="dxa"/>
            </w:tcMar>
            <w:vAlign w:val="center"/>
          </w:tcPr>
          <w:p>
            <w:pPr>
              <w:pStyle w:val="TableContents"/>
              <w:bidi w:val="0"/>
              <w:spacing w:before="10" w:after="283"/>
              <w:jc w:val="right"/>
              <w:rPr>
                <w:rFonts w:ascii="sans-serif" w:hAnsi="sans-serif"/>
                <w:color w:val="000000"/>
                <w:sz w:val="18"/>
              </w:rPr>
            </w:pPr>
            <w:r>
              <w:rPr>
                <w:rFonts w:ascii="sans-serif" w:hAnsi="sans-serif"/>
                <w:color w:val="000000"/>
                <w:sz w:val="18"/>
              </w:rPr>
              <w:t>6,175,410</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290"/>
              <w:jc w:val="right"/>
              <w:rPr>
                <w:rFonts w:ascii="sans-serif" w:hAnsi="sans-serif"/>
                <w:color w:val="000000"/>
                <w:sz w:val="18"/>
              </w:rPr>
            </w:pPr>
            <w:r>
              <w:rPr>
                <w:rFonts w:ascii="sans-serif" w:hAnsi="sans-serif"/>
                <w:color w:val="000000"/>
                <w:sz w:val="18"/>
              </w:rPr>
              <w:t>724,634</w:t>
            </w:r>
          </w:p>
        </w:tc>
      </w:tr>
      <w:tr>
        <w:trPr/>
        <w:tc>
          <w:tcPr>
            <w:tcW w:w="6207" w:type="dxa"/>
            <w:tcBorders/>
            <w:tcMar>
              <w:top w:w="0" w:type="dxa"/>
              <w:left w:w="0" w:type="dxa"/>
              <w:bottom w:w="0" w:type="dxa"/>
              <w:right w:w="0" w:type="dxa"/>
            </w:tcMar>
            <w:vAlign w:val="center"/>
          </w:tcPr>
          <w:p>
            <w:pPr>
              <w:pStyle w:val="TableContents"/>
              <w:bidi w:val="0"/>
              <w:spacing w:before="1" w:after="283"/>
              <w:ind w:left="0" w:right="0" w:firstLine="290"/>
              <w:jc w:val="left"/>
              <w:rPr>
                <w:rFonts w:ascii="sans-serif" w:hAnsi="sans-serif"/>
                <w:color w:val="000000"/>
                <w:sz w:val="18"/>
              </w:rPr>
            </w:pPr>
            <w:r>
              <w:rPr>
                <w:rFonts w:ascii="sans-serif" w:hAnsi="sans-serif"/>
                <w:color w:val="000000"/>
                <w:sz w:val="18"/>
              </w:rPr>
              <w:t>Customer deposits</w:t>
            </w:r>
          </w:p>
        </w:tc>
        <w:tc>
          <w:tcPr>
            <w:tcW w:w="1917" w:type="dxa"/>
            <w:tcBorders/>
            <w:tcMar>
              <w:top w:w="0" w:type="dxa"/>
              <w:left w:w="0" w:type="dxa"/>
              <w:bottom w:w="0" w:type="dxa"/>
              <w:right w:w="0" w:type="dxa"/>
            </w:tcMar>
            <w:vAlign w:val="center"/>
          </w:tcPr>
          <w:p>
            <w:pPr>
              <w:pStyle w:val="TableContents"/>
              <w:bidi w:val="0"/>
              <w:spacing w:before="10" w:after="283"/>
              <w:jc w:val="right"/>
              <w:rPr>
                <w:rFonts w:ascii="sans-serif" w:hAnsi="sans-serif"/>
                <w:color w:val="000000"/>
                <w:sz w:val="18"/>
              </w:rPr>
            </w:pPr>
            <w:r>
              <w:rPr>
                <w:rFonts w:ascii="sans-serif" w:hAnsi="sans-serif"/>
                <w:color w:val="000000"/>
                <w:sz w:val="18"/>
              </w:rPr>
              <w:t>149,754</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294"/>
              <w:jc w:val="right"/>
              <w:rPr>
                <w:rFonts w:ascii="sans-serif" w:hAnsi="sans-serif"/>
                <w:color w:val="000000"/>
                <w:sz w:val="18"/>
              </w:rPr>
            </w:pPr>
            <w:r>
              <w:rPr>
                <w:rFonts w:ascii="sans-serif" w:hAnsi="sans-serif"/>
                <w:color w:val="000000"/>
                <w:sz w:val="18"/>
              </w:rPr>
              <w:t>(172,113)</w:t>
            </w:r>
          </w:p>
        </w:tc>
      </w:tr>
      <w:tr>
        <w:trPr/>
        <w:tc>
          <w:tcPr>
            <w:tcW w:w="6207" w:type="dxa"/>
            <w:tcBorders/>
            <w:tcMar>
              <w:top w:w="0" w:type="dxa"/>
              <w:left w:w="0" w:type="dxa"/>
              <w:bottom w:w="0" w:type="dxa"/>
              <w:right w:w="0" w:type="dxa"/>
            </w:tcMar>
            <w:vAlign w:val="center"/>
          </w:tcPr>
          <w:p>
            <w:pPr>
              <w:pStyle w:val="TableContents"/>
              <w:bidi w:val="0"/>
              <w:spacing w:before="7" w:after="283"/>
              <w:ind w:left="0" w:right="0" w:firstLine="294"/>
              <w:jc w:val="left"/>
              <w:rPr>
                <w:rFonts w:ascii="sans-serif" w:hAnsi="sans-serif"/>
                <w:color w:val="000000"/>
                <w:sz w:val="18"/>
              </w:rPr>
            </w:pPr>
            <w:r>
              <w:rPr>
                <w:rFonts w:ascii="sans-serif" w:hAnsi="sans-serif"/>
                <w:color w:val="000000"/>
                <w:sz w:val="18"/>
              </w:rPr>
              <w:t>Other</w:t>
            </w:r>
          </w:p>
        </w:tc>
        <w:tc>
          <w:tcPr>
            <w:tcW w:w="191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(363,555)</w:t>
            </w:r>
          </w:p>
        </w:tc>
        <w:tc>
          <w:tcPr>
            <w:tcW w:w="51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563"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462"/>
              <w:jc w:val="right"/>
              <w:rPr>
                <w:rFonts w:ascii="sans-serif" w:hAnsi="sans-serif"/>
                <w:color w:val="000000"/>
                <w:sz w:val="18"/>
              </w:rPr>
            </w:pPr>
            <w:r>
              <w:rPr>
                <w:rFonts w:ascii="sans-serif" w:hAnsi="sans-serif"/>
                <w:color w:val="000000"/>
                <w:sz w:val="18"/>
              </w:rPr>
              <w:t>(631,412)</w:t>
            </w:r>
          </w:p>
        </w:tc>
      </w:tr>
      <w:tr>
        <w:trPr/>
        <w:tc>
          <w:tcPr>
            <w:tcW w:w="6207" w:type="dxa"/>
            <w:tcBorders/>
            <w:tcMar>
              <w:top w:w="0" w:type="dxa"/>
              <w:left w:w="0" w:type="dxa"/>
              <w:bottom w:w="0" w:type="dxa"/>
              <w:right w:w="0" w:type="dxa"/>
            </w:tcMar>
            <w:vAlign w:val="center"/>
          </w:tcPr>
          <w:p>
            <w:pPr>
              <w:pStyle w:val="TableContents"/>
              <w:bidi w:val="0"/>
              <w:spacing w:before="27" w:after="283"/>
              <w:ind w:left="0" w:right="0" w:firstLine="395"/>
              <w:jc w:val="left"/>
              <w:rPr>
                <w:rFonts w:ascii="sans-serif" w:hAnsi="sans-serif"/>
                <w:b/>
                <w:color w:val="000000"/>
                <w:sz w:val="18"/>
              </w:rPr>
            </w:pPr>
            <w:r>
              <w:rPr>
                <w:rFonts w:ascii="sans-serif" w:hAnsi="sans-serif"/>
                <w:b/>
                <w:color w:val="000000"/>
                <w:sz w:val="18"/>
              </w:rPr>
              <w:t>Net cash provided by operating activities</w:t>
            </w:r>
          </w:p>
        </w:tc>
        <w:tc>
          <w:tcPr>
            <w:tcW w:w="1917" w:type="dxa"/>
            <w:tcBorders>
              <w:bottom w:val="single" w:sz="4" w:space="0" w:color="000000"/>
            </w:tcBorders>
            <w:tcMar>
              <w:top w:w="0" w:type="dxa"/>
              <w:left w:w="0" w:type="dxa"/>
              <w:right w:w="0" w:type="dxa"/>
            </w:tcMar>
            <w:vAlign w:val="center"/>
          </w:tcPr>
          <w:p>
            <w:pPr>
              <w:pStyle w:val="TableContents"/>
              <w:bidi w:val="0"/>
              <w:spacing w:before="37" w:after="283"/>
              <w:ind w:left="0" w:right="0" w:firstLine="395"/>
              <w:jc w:val="right"/>
              <w:rPr>
                <w:rFonts w:ascii="sans-serif" w:hAnsi="sans-serif"/>
                <w:b/>
                <w:color w:val="000000"/>
                <w:sz w:val="18"/>
              </w:rPr>
            </w:pPr>
            <w:r>
              <w:rPr>
                <w:rFonts w:ascii="sans-serif" w:hAnsi="sans-serif"/>
                <w:b/>
                <w:color w:val="000000"/>
                <w:sz w:val="18"/>
              </w:rPr>
              <w:t>3,820,555</w:t>
            </w:r>
          </w:p>
        </w:tc>
        <w:tc>
          <w:tcPr>
            <w:tcW w:w="518" w:type="dxa"/>
            <w:tcBorders>
              <w:bottom w:val="single" w:sz="4" w:space="0" w:color="000000"/>
            </w:tcBorders>
            <w:tcMar>
              <w:top w:w="0" w:type="dxa"/>
              <w:left w:w="0" w:type="dxa"/>
              <w:right w:w="0" w:type="dxa"/>
            </w:tcMar>
            <w:vAlign w:val="center"/>
          </w:tcPr>
          <w:p>
            <w:pPr>
              <w:pStyle w:val="TableContents"/>
              <w:bidi w:val="0"/>
              <w:spacing w:before="37" w:after="283"/>
              <w:jc w:val="right"/>
              <w:rPr/>
            </w:pPr>
            <w:r>
              <w:rPr/>
              <w:t> </w:t>
            </w:r>
          </w:p>
        </w:tc>
        <w:tc>
          <w:tcPr>
            <w:tcW w:w="1563" w:type="dxa"/>
            <w:gridSpan w:val="2"/>
            <w:tcBorders>
              <w:bottom w:val="single" w:sz="4" w:space="0" w:color="000000"/>
            </w:tcBorders>
            <w:tcMar>
              <w:top w:w="0" w:type="dxa"/>
              <w:left w:w="0" w:type="dxa"/>
              <w:right w:w="0" w:type="dxa"/>
            </w:tcMar>
            <w:vAlign w:val="center"/>
          </w:tcPr>
          <w:p>
            <w:pPr>
              <w:pStyle w:val="TableContents"/>
              <w:bidi w:val="0"/>
              <w:spacing w:before="37" w:after="283"/>
              <w:ind w:left="0" w:right="0" w:firstLine="78"/>
              <w:jc w:val="right"/>
              <w:rPr>
                <w:rFonts w:ascii="sans-serif" w:hAnsi="sans-serif"/>
                <w:b/>
                <w:color w:val="000000"/>
                <w:sz w:val="18"/>
              </w:rPr>
            </w:pPr>
            <w:r>
              <w:rPr>
                <w:rFonts w:ascii="sans-serif" w:hAnsi="sans-serif"/>
                <w:b/>
                <w:color w:val="000000"/>
                <w:sz w:val="18"/>
              </w:rPr>
              <w:t>4,882,399</w:t>
            </w:r>
          </w:p>
        </w:tc>
      </w:tr>
      <w:tr>
        <w:trPr/>
        <w:tc>
          <w:tcPr>
            <w:tcW w:w="6207" w:type="dxa"/>
            <w:tcBorders/>
            <w:tcMar>
              <w:top w:w="0" w:type="dxa"/>
              <w:left w:w="0" w:type="dxa"/>
              <w:bottom w:w="0" w:type="dxa"/>
              <w:right w:w="0" w:type="dxa"/>
            </w:tcMar>
            <w:vAlign w:val="center"/>
          </w:tcPr>
          <w:p>
            <w:pPr>
              <w:pStyle w:val="TableContents"/>
              <w:bidi w:val="0"/>
              <w:spacing w:before="27" w:after="283"/>
              <w:ind w:left="0" w:right="0" w:firstLine="78"/>
              <w:jc w:val="left"/>
              <w:rPr>
                <w:rFonts w:ascii="sans-serif" w:hAnsi="sans-serif"/>
                <w:b/>
                <w:color w:val="000000"/>
                <w:sz w:val="18"/>
              </w:rPr>
            </w:pPr>
            <w:r>
              <w:rPr>
                <w:rFonts w:ascii="sans-serif" w:hAnsi="sans-serif"/>
                <w:b/>
                <w:color w:val="000000"/>
                <w:sz w:val="18"/>
              </w:rPr>
              <w:t>CASH FLOWS FROM INVESTING ACTIVITIES:</w:t>
            </w:r>
          </w:p>
        </w:tc>
        <w:tc>
          <w:tcPr>
            <w:tcW w:w="1917" w:type="dxa"/>
            <w:tcBorders/>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165"/>
              <w:jc w:val="right"/>
              <w:rPr/>
            </w:pPr>
            <w:r>
              <w:rPr/>
              <w:t> </w:t>
            </w:r>
          </w:p>
        </w:tc>
      </w:tr>
      <w:tr>
        <w:trPr/>
        <w:tc>
          <w:tcPr>
            <w:tcW w:w="6207" w:type="dxa"/>
            <w:tcBorders/>
            <w:tcMar>
              <w:top w:w="0" w:type="dxa"/>
              <w:left w:w="0" w:type="dxa"/>
              <w:bottom w:w="0" w:type="dxa"/>
              <w:right w:w="0" w:type="dxa"/>
            </w:tcMar>
            <w:vAlign w:val="center"/>
          </w:tcPr>
          <w:p>
            <w:pPr>
              <w:pStyle w:val="TableContents"/>
              <w:bidi w:val="0"/>
              <w:spacing w:before="4" w:after="283"/>
              <w:ind w:left="0" w:right="0" w:firstLine="290"/>
              <w:jc w:val="left"/>
              <w:rPr>
                <w:rFonts w:ascii="sans-serif" w:hAnsi="sans-serif"/>
                <w:color w:val="000000"/>
                <w:sz w:val="18"/>
              </w:rPr>
            </w:pPr>
            <w:r>
              <w:rPr>
                <w:rFonts w:ascii="sans-serif" w:hAnsi="sans-serif"/>
                <w:color w:val="000000"/>
                <w:sz w:val="18"/>
              </w:rPr>
              <w:t>Capitalized software development costs</w:t>
            </w:r>
          </w:p>
        </w:tc>
        <w:tc>
          <w:tcPr>
            <w:tcW w:w="1917" w:type="dxa"/>
            <w:tcBorders/>
            <w:tcMar>
              <w:top w:w="0" w:type="dxa"/>
              <w:left w:w="0" w:type="dxa"/>
              <w:bottom w:w="0" w:type="dxa"/>
              <w:right w:w="0" w:type="dxa"/>
            </w:tcMar>
            <w:vAlign w:val="center"/>
          </w:tcPr>
          <w:p>
            <w:pPr>
              <w:pStyle w:val="TableContents"/>
              <w:bidi w:val="0"/>
              <w:spacing w:before="14" w:after="283"/>
              <w:ind w:left="0" w:right="0" w:firstLine="290"/>
              <w:jc w:val="right"/>
              <w:rPr>
                <w:rFonts w:ascii="sans-serif" w:hAnsi="sans-serif"/>
                <w:color w:val="000000"/>
                <w:sz w:val="18"/>
              </w:rPr>
            </w:pPr>
            <w:r>
              <w:rPr>
                <w:rFonts w:ascii="sans-serif" w:hAnsi="sans-serif"/>
                <w:color w:val="000000"/>
                <w:sz w:val="18"/>
              </w:rPr>
              <w:t>(5,092,898)</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148"/>
              <w:jc w:val="right"/>
              <w:rPr>
                <w:rFonts w:ascii="sans-serif" w:hAnsi="sans-serif"/>
                <w:color w:val="000000"/>
                <w:sz w:val="18"/>
              </w:rPr>
            </w:pPr>
            <w:r>
              <w:rPr>
                <w:rFonts w:ascii="sans-serif" w:hAnsi="sans-serif"/>
                <w:color w:val="000000"/>
                <w:sz w:val="18"/>
              </w:rPr>
              <w:t>(5,125,534)</w:t>
            </w:r>
          </w:p>
        </w:tc>
      </w:tr>
      <w:tr>
        <w:trPr/>
        <w:tc>
          <w:tcPr>
            <w:tcW w:w="6207" w:type="dxa"/>
            <w:tcBorders/>
            <w:tcMar>
              <w:top w:w="0" w:type="dxa"/>
              <w:left w:w="0" w:type="dxa"/>
              <w:bottom w:w="0" w:type="dxa"/>
              <w:right w:w="0" w:type="dxa"/>
            </w:tcMar>
            <w:vAlign w:val="center"/>
          </w:tcPr>
          <w:p>
            <w:pPr>
              <w:pStyle w:val="TableContents"/>
              <w:bidi w:val="0"/>
              <w:spacing w:before="0" w:after="283"/>
              <w:ind w:left="0" w:right="0" w:firstLine="381"/>
              <w:jc w:val="left"/>
              <w:rPr>
                <w:rFonts w:ascii="sans-serif" w:hAnsi="sans-serif"/>
                <w:color w:val="000000"/>
                <w:sz w:val="18"/>
              </w:rPr>
            </w:pPr>
            <w:r>
              <w:rPr>
                <w:rFonts w:ascii="sans-serif" w:hAnsi="sans-serif"/>
                <w:color w:val="000000"/>
                <w:sz w:val="18"/>
              </w:rPr>
              <w:t>Purchases of property and equipment</w:t>
            </w:r>
          </w:p>
        </w:tc>
        <w:tc>
          <w:tcPr>
            <w:tcW w:w="1917" w:type="dxa"/>
            <w:tcBorders>
              <w:bottom w:val="single" w:sz="4" w:space="0" w:color="000000"/>
            </w:tcBorders>
            <w:tcMar>
              <w:top w:w="0" w:type="dxa"/>
              <w:left w:w="0" w:type="dxa"/>
              <w:right w:w="0" w:type="dxa"/>
            </w:tcMar>
            <w:vAlign w:val="center"/>
          </w:tcPr>
          <w:p>
            <w:pPr>
              <w:pStyle w:val="TableContents"/>
              <w:bidi w:val="0"/>
              <w:spacing w:before="0" w:after="283"/>
              <w:ind w:left="0" w:right="0" w:firstLine="381"/>
              <w:jc w:val="right"/>
              <w:rPr>
                <w:rFonts w:ascii="sans-serif" w:hAnsi="sans-serif"/>
                <w:color w:val="000000"/>
                <w:sz w:val="18"/>
              </w:rPr>
            </w:pPr>
            <w:r>
              <w:rPr>
                <w:rFonts w:ascii="sans-serif" w:hAnsi="sans-serif"/>
                <w:color w:val="000000"/>
                <w:sz w:val="18"/>
              </w:rPr>
              <w:t>(103,923)</w:t>
            </w:r>
          </w:p>
        </w:tc>
        <w:tc>
          <w:tcPr>
            <w:tcW w:w="51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563"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462"/>
              <w:jc w:val="right"/>
              <w:rPr>
                <w:rFonts w:ascii="sans-serif" w:hAnsi="sans-serif"/>
                <w:color w:val="000000"/>
                <w:sz w:val="18"/>
              </w:rPr>
            </w:pPr>
            <w:r>
              <w:rPr>
                <w:rFonts w:ascii="sans-serif" w:hAnsi="sans-serif"/>
                <w:color w:val="000000"/>
                <w:sz w:val="18"/>
              </w:rPr>
              <w:t>68,335</w:t>
            </w:r>
          </w:p>
        </w:tc>
      </w:tr>
      <w:tr>
        <w:trPr/>
        <w:tc>
          <w:tcPr>
            <w:tcW w:w="6207" w:type="dxa"/>
            <w:tcBorders/>
            <w:tcMar>
              <w:top w:w="0" w:type="dxa"/>
              <w:left w:w="0" w:type="dxa"/>
              <w:bottom w:w="0" w:type="dxa"/>
              <w:right w:w="0" w:type="dxa"/>
            </w:tcMar>
            <w:vAlign w:val="center"/>
          </w:tcPr>
          <w:p>
            <w:pPr>
              <w:pStyle w:val="TableContents"/>
              <w:bidi w:val="0"/>
              <w:spacing w:before="27" w:after="283"/>
              <w:ind w:left="0" w:right="0" w:firstLine="283"/>
              <w:jc w:val="left"/>
              <w:rPr>
                <w:rFonts w:ascii="sans-serif" w:hAnsi="sans-serif"/>
                <w:b/>
                <w:color w:val="000000"/>
                <w:sz w:val="18"/>
              </w:rPr>
            </w:pPr>
            <w:r>
              <w:rPr>
                <w:rFonts w:ascii="sans-serif" w:hAnsi="sans-serif"/>
                <w:b/>
                <w:color w:val="000000"/>
                <w:sz w:val="18"/>
              </w:rPr>
              <w:t>Net cash used in investing activities</w:t>
            </w:r>
          </w:p>
        </w:tc>
        <w:tc>
          <w:tcPr>
            <w:tcW w:w="1917" w:type="dxa"/>
            <w:tcBorders>
              <w:bottom w:val="single" w:sz="4" w:space="0" w:color="000000"/>
            </w:tcBorders>
            <w:tcMar>
              <w:top w:w="0" w:type="dxa"/>
              <w:left w:w="0" w:type="dxa"/>
              <w:right w:w="0" w:type="dxa"/>
            </w:tcMar>
            <w:vAlign w:val="center"/>
          </w:tcPr>
          <w:p>
            <w:pPr>
              <w:pStyle w:val="TableContents"/>
              <w:bidi w:val="0"/>
              <w:spacing w:before="18" w:after="283"/>
              <w:ind w:left="0" w:right="0" w:firstLine="283"/>
              <w:jc w:val="right"/>
              <w:rPr>
                <w:rFonts w:ascii="sans-serif" w:hAnsi="sans-serif"/>
                <w:b/>
                <w:color w:val="000000"/>
                <w:sz w:val="18"/>
              </w:rPr>
            </w:pPr>
            <w:r>
              <w:rPr>
                <w:rFonts w:ascii="sans-serif" w:hAnsi="sans-serif"/>
                <w:b/>
                <w:color w:val="000000"/>
                <w:sz w:val="18"/>
              </w:rPr>
              <w:t>(5,196,821)</w:t>
            </w:r>
          </w:p>
        </w:tc>
        <w:tc>
          <w:tcPr>
            <w:tcW w:w="518" w:type="dxa"/>
            <w:tcBorders>
              <w:bottom w:val="single" w:sz="4" w:space="0" w:color="000000"/>
            </w:tcBorders>
            <w:tcMar>
              <w:top w:w="0" w:type="dxa"/>
              <w:left w:w="0" w:type="dxa"/>
              <w:right w:w="0" w:type="dxa"/>
            </w:tcMar>
            <w:vAlign w:val="center"/>
          </w:tcPr>
          <w:p>
            <w:pPr>
              <w:pStyle w:val="TableContents"/>
              <w:bidi w:val="0"/>
              <w:spacing w:before="18" w:after="283"/>
              <w:jc w:val="right"/>
              <w:rPr/>
            </w:pPr>
            <w:r>
              <w:rPr/>
              <w:t> </w:t>
            </w:r>
          </w:p>
        </w:tc>
        <w:tc>
          <w:tcPr>
            <w:tcW w:w="1563" w:type="dxa"/>
            <w:gridSpan w:val="2"/>
            <w:tcBorders>
              <w:bottom w:val="single" w:sz="4" w:space="0" w:color="000000"/>
            </w:tcBorders>
            <w:tcMar>
              <w:top w:w="0" w:type="dxa"/>
              <w:left w:w="0" w:type="dxa"/>
              <w:right w:w="0" w:type="dxa"/>
            </w:tcMar>
            <w:vAlign w:val="center"/>
          </w:tcPr>
          <w:p>
            <w:pPr>
              <w:pStyle w:val="TableContents"/>
              <w:bidi w:val="0"/>
              <w:spacing w:before="18" w:after="283"/>
              <w:ind w:left="0" w:right="0" w:firstLine="78"/>
              <w:jc w:val="right"/>
              <w:rPr>
                <w:rFonts w:ascii="sans-serif" w:hAnsi="sans-serif"/>
                <w:b/>
                <w:color w:val="000000"/>
                <w:sz w:val="18"/>
              </w:rPr>
            </w:pPr>
            <w:r>
              <w:rPr>
                <w:rFonts w:ascii="sans-serif" w:hAnsi="sans-serif"/>
                <w:b/>
                <w:color w:val="000000"/>
                <w:sz w:val="18"/>
              </w:rPr>
              <w:t>(5,057,200)</w:t>
            </w:r>
          </w:p>
        </w:tc>
      </w:tr>
      <w:tr>
        <w:trPr/>
        <w:tc>
          <w:tcPr>
            <w:tcW w:w="6207" w:type="dxa"/>
            <w:tcBorders/>
            <w:tcMar>
              <w:top w:w="0" w:type="dxa"/>
              <w:left w:w="0" w:type="dxa"/>
              <w:bottom w:w="0" w:type="dxa"/>
              <w:right w:w="0" w:type="dxa"/>
            </w:tcMar>
            <w:vAlign w:val="center"/>
          </w:tcPr>
          <w:p>
            <w:pPr>
              <w:pStyle w:val="TableContents"/>
              <w:bidi w:val="0"/>
              <w:spacing w:before="25" w:after="283"/>
              <w:ind w:left="0" w:right="0" w:firstLine="78"/>
              <w:jc w:val="left"/>
              <w:rPr>
                <w:rFonts w:ascii="sans-serif" w:hAnsi="sans-serif"/>
                <w:b/>
                <w:color w:val="000000"/>
                <w:sz w:val="18"/>
              </w:rPr>
            </w:pPr>
            <w:r>
              <w:rPr>
                <w:rFonts w:ascii="sans-serif" w:hAnsi="sans-serif"/>
                <w:b/>
                <w:color w:val="000000"/>
                <w:sz w:val="18"/>
              </w:rPr>
              <w:t>CASH FLOWS FROM FINANCING ACTIVITIES:</w:t>
            </w:r>
          </w:p>
        </w:tc>
        <w:tc>
          <w:tcPr>
            <w:tcW w:w="1917" w:type="dxa"/>
            <w:tcBorders/>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148"/>
              <w:jc w:val="right"/>
              <w:rPr/>
            </w:pPr>
            <w:r>
              <w:rPr/>
              <w:t> </w:t>
            </w:r>
          </w:p>
        </w:tc>
      </w:tr>
      <w:tr>
        <w:trPr/>
        <w:tc>
          <w:tcPr>
            <w:tcW w:w="6207" w:type="dxa"/>
            <w:tcBorders/>
            <w:tcMar>
              <w:top w:w="0" w:type="dxa"/>
              <w:left w:w="0" w:type="dxa"/>
              <w:bottom w:w="0" w:type="dxa"/>
              <w:right w:w="0" w:type="dxa"/>
            </w:tcMar>
            <w:vAlign w:val="center"/>
          </w:tcPr>
          <w:p>
            <w:pPr>
              <w:pStyle w:val="TableContents"/>
              <w:bidi w:val="0"/>
              <w:spacing w:before="4" w:after="283"/>
              <w:ind w:left="0" w:right="0" w:firstLine="381"/>
              <w:jc w:val="left"/>
              <w:rPr>
                <w:rFonts w:ascii="sans-serif" w:hAnsi="sans-serif"/>
                <w:color w:val="000000"/>
                <w:sz w:val="18"/>
              </w:rPr>
            </w:pPr>
            <w:r>
              <w:rPr>
                <w:rFonts w:ascii="sans-serif" w:hAnsi="sans-serif"/>
                <w:color w:val="000000"/>
                <w:sz w:val="18"/>
              </w:rPr>
              <w:t>Repayment of debt</w:t>
            </w:r>
          </w:p>
        </w:tc>
        <w:tc>
          <w:tcPr>
            <w:tcW w:w="1917" w:type="dxa"/>
            <w:tcBorders>
              <w:bottom w:val="single" w:sz="4" w:space="0" w:color="000000"/>
            </w:tcBorders>
            <w:tcMar>
              <w:top w:w="0" w:type="dxa"/>
              <w:left w:w="0" w:type="dxa"/>
              <w:right w:w="0" w:type="dxa"/>
            </w:tcMar>
            <w:vAlign w:val="center"/>
          </w:tcPr>
          <w:p>
            <w:pPr>
              <w:pStyle w:val="TableContents"/>
              <w:bidi w:val="0"/>
              <w:spacing w:before="0" w:after="283"/>
              <w:ind w:left="0" w:right="0" w:firstLine="381"/>
              <w:jc w:val="right"/>
              <w:rPr>
                <w:rFonts w:ascii="sans-serif" w:hAnsi="sans-serif"/>
                <w:color w:val="000000"/>
                <w:sz w:val="18"/>
              </w:rPr>
            </w:pPr>
            <w:r>
              <w:rPr>
                <w:rFonts w:ascii="sans-serif" w:hAnsi="sans-serif"/>
                <w:color w:val="000000"/>
                <w:sz w:val="18"/>
              </w:rPr>
              <w:t>-</w:t>
            </w:r>
          </w:p>
        </w:tc>
        <w:tc>
          <w:tcPr>
            <w:tcW w:w="51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563"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494"/>
              <w:jc w:val="right"/>
              <w:rPr>
                <w:rFonts w:ascii="sans-serif" w:hAnsi="sans-serif"/>
                <w:color w:val="000000"/>
                <w:sz w:val="18"/>
              </w:rPr>
            </w:pPr>
            <w:r>
              <w:rPr>
                <w:rFonts w:ascii="sans-serif" w:hAnsi="sans-serif"/>
                <w:color w:val="000000"/>
                <w:sz w:val="18"/>
              </w:rPr>
              <w:t>(535,187)</w:t>
            </w:r>
          </w:p>
        </w:tc>
      </w:tr>
      <w:tr>
        <w:trPr/>
        <w:tc>
          <w:tcPr>
            <w:tcW w:w="6207" w:type="dxa"/>
            <w:tcBorders/>
            <w:tcMar>
              <w:top w:w="0" w:type="dxa"/>
              <w:left w:w="0" w:type="dxa"/>
              <w:bottom w:w="0" w:type="dxa"/>
              <w:right w:w="0" w:type="dxa"/>
            </w:tcMar>
            <w:vAlign w:val="center"/>
          </w:tcPr>
          <w:p>
            <w:pPr>
              <w:pStyle w:val="TableContents"/>
              <w:bidi w:val="0"/>
              <w:spacing w:before="27" w:after="283"/>
              <w:ind w:left="0" w:right="0" w:firstLine="374"/>
              <w:jc w:val="left"/>
              <w:rPr>
                <w:rFonts w:ascii="sans-serif" w:hAnsi="sans-serif"/>
                <w:b/>
                <w:color w:val="000000"/>
                <w:sz w:val="18"/>
              </w:rPr>
            </w:pPr>
            <w:r>
              <w:rPr>
                <w:rFonts w:ascii="sans-serif" w:hAnsi="sans-serif"/>
                <w:b/>
                <w:color w:val="000000"/>
                <w:sz w:val="18"/>
              </w:rPr>
              <w:t>Net cash used in financing activities</w:t>
            </w:r>
          </w:p>
        </w:tc>
        <w:tc>
          <w:tcPr>
            <w:tcW w:w="1917" w:type="dxa"/>
            <w:tcBorders>
              <w:bottom w:val="single" w:sz="4" w:space="0" w:color="000000"/>
            </w:tcBorders>
            <w:tcMar>
              <w:top w:w="0" w:type="dxa"/>
              <w:left w:w="0" w:type="dxa"/>
              <w:right w:w="0" w:type="dxa"/>
            </w:tcMar>
            <w:vAlign w:val="center"/>
          </w:tcPr>
          <w:p>
            <w:pPr>
              <w:pStyle w:val="TableContents"/>
              <w:bidi w:val="0"/>
              <w:spacing w:before="15" w:after="283"/>
              <w:ind w:left="0" w:right="0" w:firstLine="374"/>
              <w:jc w:val="right"/>
              <w:rPr>
                <w:rFonts w:ascii="sans-serif" w:hAnsi="sans-serif"/>
                <w:b/>
                <w:color w:val="000000"/>
                <w:sz w:val="18"/>
              </w:rPr>
            </w:pPr>
            <w:r>
              <w:rPr>
                <w:rFonts w:ascii="sans-serif" w:hAnsi="sans-serif"/>
                <w:b/>
                <w:color w:val="000000"/>
                <w:sz w:val="18"/>
              </w:rPr>
              <w:t>-</w:t>
            </w:r>
          </w:p>
        </w:tc>
        <w:tc>
          <w:tcPr>
            <w:tcW w:w="518" w:type="dxa"/>
            <w:tcBorders>
              <w:bottom w:val="single" w:sz="4" w:space="0" w:color="000000"/>
            </w:tcBorders>
            <w:tcMar>
              <w:top w:w="0" w:type="dxa"/>
              <w:left w:w="0" w:type="dxa"/>
              <w:right w:w="0" w:type="dxa"/>
            </w:tcMar>
            <w:vAlign w:val="center"/>
          </w:tcPr>
          <w:p>
            <w:pPr>
              <w:pStyle w:val="TableContents"/>
              <w:bidi w:val="0"/>
              <w:spacing w:before="15" w:after="283"/>
              <w:jc w:val="right"/>
              <w:rPr/>
            </w:pPr>
            <w:r>
              <w:rPr/>
              <w:t> </w:t>
            </w:r>
          </w:p>
        </w:tc>
        <w:tc>
          <w:tcPr>
            <w:tcW w:w="1563" w:type="dxa"/>
            <w:gridSpan w:val="2"/>
            <w:tcBorders>
              <w:bottom w:val="single" w:sz="4" w:space="0" w:color="000000"/>
            </w:tcBorders>
            <w:tcMar>
              <w:top w:w="0" w:type="dxa"/>
              <w:left w:w="0" w:type="dxa"/>
              <w:right w:w="0" w:type="dxa"/>
            </w:tcMar>
            <w:vAlign w:val="center"/>
          </w:tcPr>
          <w:p>
            <w:pPr>
              <w:pStyle w:val="TableContents"/>
              <w:bidi w:val="0"/>
              <w:spacing w:before="15" w:after="283"/>
              <w:jc w:val="right"/>
              <w:rPr>
                <w:rFonts w:ascii="sans-serif" w:hAnsi="sans-serif"/>
                <w:b/>
                <w:color w:val="000000"/>
                <w:sz w:val="18"/>
              </w:rPr>
            </w:pPr>
            <w:r>
              <w:rPr>
                <w:rFonts w:ascii="sans-serif" w:hAnsi="sans-serif"/>
                <w:b/>
                <w:color w:val="000000"/>
                <w:sz w:val="18"/>
              </w:rPr>
              <w:t>(535,187)</w:t>
            </w:r>
          </w:p>
        </w:tc>
      </w:tr>
      <w:tr>
        <w:trPr/>
        <w:tc>
          <w:tcPr>
            <w:tcW w:w="6207" w:type="dxa"/>
            <w:tcBorders/>
            <w:tcMar>
              <w:top w:w="0" w:type="dxa"/>
              <w:left w:w="0" w:type="dxa"/>
              <w:bottom w:w="0" w:type="dxa"/>
              <w:right w:w="0" w:type="dxa"/>
            </w:tcMar>
            <w:vAlign w:val="center"/>
          </w:tcPr>
          <w:p>
            <w:pPr>
              <w:pStyle w:val="TableContents"/>
              <w:bidi w:val="0"/>
              <w:spacing w:before="59" w:after="283"/>
              <w:jc w:val="left"/>
              <w:rPr/>
            </w:pPr>
            <w:r>
              <w:rPr/>
              <w:t> </w:t>
            </w:r>
          </w:p>
          <w:p>
            <w:pPr>
              <w:pStyle w:val="TableContents"/>
              <w:bidi w:val="0"/>
              <w:spacing w:before="1" w:after="283"/>
              <w:jc w:val="left"/>
              <w:rPr>
                <w:rFonts w:ascii="sans-serif" w:hAnsi="sans-serif"/>
                <w:color w:val="000000"/>
                <w:sz w:val="18"/>
              </w:rPr>
            </w:pPr>
            <w:r>
              <w:rPr>
                <w:rFonts w:ascii="sans-serif" w:hAnsi="sans-serif"/>
                <w:color w:val="000000"/>
                <w:sz w:val="18"/>
              </w:rPr>
              <w:t>NET CHANGE IN CASH AND CASH EQUIVALENTS</w:t>
            </w:r>
          </w:p>
        </w:tc>
        <w:tc>
          <w:tcPr>
            <w:tcW w:w="1917" w:type="dxa"/>
            <w:tcBorders/>
            <w:tcMar>
              <w:top w:w="0" w:type="dxa"/>
              <w:left w:w="0" w:type="dxa"/>
              <w:bottom w:w="0" w:type="dxa"/>
              <w:right w:w="0" w:type="dxa"/>
            </w:tcMar>
            <w:vAlign w:val="center"/>
          </w:tcPr>
          <w:p>
            <w:pPr>
              <w:pStyle w:val="TableContents"/>
              <w:bidi w:val="0"/>
              <w:spacing w:before="1" w:after="283"/>
              <w:jc w:val="right"/>
              <w:rPr>
                <w:rFonts w:ascii="sans-serif" w:hAnsi="sans-serif"/>
                <w:color w:val="000000"/>
                <w:sz w:val="18"/>
              </w:rPr>
            </w:pPr>
            <w:r>
              <w:rPr>
                <w:rFonts w:ascii="sans-serif" w:hAnsi="sans-serif"/>
                <w:color w:val="000000"/>
                <w:sz w:val="18"/>
              </w:rPr>
              <w:t>(1,376,267)</w:t>
            </w:r>
          </w:p>
        </w:tc>
        <w:tc>
          <w:tcPr>
            <w:tcW w:w="518" w:type="dxa"/>
            <w:tcBorders/>
            <w:tcMar>
              <w:top w:w="0" w:type="dxa"/>
              <w:left w:w="0" w:type="dxa"/>
              <w:bottom w:w="0" w:type="dxa"/>
              <w:right w:w="0" w:type="dxa"/>
            </w:tcMar>
            <w:vAlign w:val="center"/>
          </w:tcPr>
          <w:p>
            <w:pPr>
              <w:pStyle w:val="TableContents"/>
              <w:bidi w:val="0"/>
              <w:spacing w:before="1"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1" w:after="283"/>
              <w:ind w:left="0" w:right="0" w:firstLine="148"/>
              <w:jc w:val="right"/>
              <w:rPr>
                <w:rFonts w:ascii="sans-serif" w:hAnsi="sans-serif"/>
                <w:color w:val="000000"/>
                <w:sz w:val="18"/>
              </w:rPr>
            </w:pPr>
            <w:r>
              <w:rPr>
                <w:rFonts w:ascii="sans-serif" w:hAnsi="sans-serif"/>
                <w:color w:val="000000"/>
                <w:sz w:val="18"/>
              </w:rPr>
              <w:t>(709,988)</w:t>
            </w:r>
          </w:p>
        </w:tc>
      </w:tr>
      <w:tr>
        <w:trPr/>
        <w:tc>
          <w:tcPr>
            <w:tcW w:w="6207" w:type="dxa"/>
            <w:tcBorders/>
            <w:tcMar>
              <w:top w:w="0" w:type="dxa"/>
              <w:left w:w="0" w:type="dxa"/>
              <w:bottom w:w="0" w:type="dxa"/>
              <w:right w:w="0" w:type="dxa"/>
            </w:tcMar>
            <w:vAlign w:val="center"/>
          </w:tcPr>
          <w:p>
            <w:pPr>
              <w:pStyle w:val="TableContents"/>
              <w:bidi w:val="0"/>
              <w:spacing w:before="5" w:after="283"/>
              <w:ind w:left="0" w:right="0" w:firstLine="148"/>
              <w:jc w:val="left"/>
              <w:rPr>
                <w:rFonts w:ascii="sans-serif" w:hAnsi="sans-serif"/>
                <w:color w:val="000000"/>
                <w:sz w:val="18"/>
              </w:rPr>
            </w:pPr>
            <w:r>
              <w:rPr>
                <w:rFonts w:ascii="sans-serif" w:hAnsi="sans-serif"/>
                <w:color w:val="000000"/>
                <w:sz w:val="18"/>
              </w:rPr>
              <w:t>CASH AND CASH EQUIVALENTS—Beginning of period</w:t>
            </w:r>
          </w:p>
        </w:tc>
        <w:tc>
          <w:tcPr>
            <w:tcW w:w="191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$7,687,799</w:t>
            </w:r>
          </w:p>
        </w:tc>
        <w:tc>
          <w:tcPr>
            <w:tcW w:w="51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563"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148"/>
              <w:jc w:val="right"/>
              <w:rPr>
                <w:rFonts w:ascii="sans-serif" w:hAnsi="sans-serif"/>
                <w:color w:val="000000"/>
                <w:sz w:val="18"/>
              </w:rPr>
            </w:pPr>
            <w:r>
              <w:rPr>
                <w:rFonts w:ascii="sans-serif" w:hAnsi="sans-serif"/>
                <w:color w:val="000000"/>
                <w:sz w:val="18"/>
              </w:rPr>
              <w:t>$3,401,438</w:t>
            </w:r>
          </w:p>
        </w:tc>
      </w:tr>
      <w:tr>
        <w:trPr/>
        <w:tc>
          <w:tcPr>
            <w:tcW w:w="6207" w:type="dxa"/>
            <w:tcBorders/>
            <w:tcMar>
              <w:top w:w="0" w:type="dxa"/>
              <w:left w:w="0" w:type="dxa"/>
              <w:bottom w:w="0" w:type="dxa"/>
              <w:right w:w="0" w:type="dxa"/>
            </w:tcMar>
            <w:vAlign w:val="center"/>
          </w:tcPr>
          <w:p>
            <w:pPr>
              <w:pStyle w:val="TableContents"/>
              <w:bidi w:val="0"/>
              <w:spacing w:before="27" w:after="283"/>
              <w:ind w:left="0" w:right="0" w:firstLine="395"/>
              <w:jc w:val="left"/>
              <w:rPr>
                <w:rFonts w:ascii="sans-serif" w:hAnsi="sans-serif"/>
                <w:b/>
                <w:color w:val="000000"/>
                <w:sz w:val="18"/>
              </w:rPr>
            </w:pPr>
            <w:r>
              <w:rPr>
                <w:rFonts w:ascii="sans-serif" w:hAnsi="sans-serif"/>
                <w:b/>
                <w:color w:val="000000"/>
                <w:sz w:val="18"/>
              </w:rPr>
              <w:t>CASH AND CASH EQUIVALENTS—End of period</w:t>
            </w:r>
          </w:p>
        </w:tc>
        <w:tc>
          <w:tcPr>
            <w:tcW w:w="1917" w:type="dxa"/>
            <w:tcBorders>
              <w:bottom w:val="double" w:sz="4" w:space="0" w:color="000000"/>
            </w:tcBorders>
            <w:tcMar>
              <w:top w:w="0" w:type="dxa"/>
              <w:left w:w="0" w:type="dxa"/>
              <w:right w:w="0" w:type="dxa"/>
            </w:tcMar>
            <w:vAlign w:val="center"/>
          </w:tcPr>
          <w:p>
            <w:pPr>
              <w:pStyle w:val="TableContents"/>
              <w:bidi w:val="0"/>
              <w:spacing w:before="18" w:after="283"/>
              <w:ind w:left="0" w:right="0" w:firstLine="395"/>
              <w:jc w:val="right"/>
              <w:rPr>
                <w:rFonts w:ascii="sans-serif" w:hAnsi="sans-serif"/>
                <w:b/>
                <w:color w:val="000000"/>
                <w:sz w:val="18"/>
              </w:rPr>
            </w:pPr>
            <w:r>
              <w:rPr>
                <w:rFonts w:ascii="sans-serif" w:hAnsi="sans-serif"/>
                <w:b/>
                <w:color w:val="000000"/>
                <w:sz w:val="18"/>
              </w:rPr>
              <w:t>$6,311,532</w:t>
            </w:r>
          </w:p>
        </w:tc>
        <w:tc>
          <w:tcPr>
            <w:tcW w:w="518" w:type="dxa"/>
            <w:tcBorders>
              <w:bottom w:val="double" w:sz="4" w:space="0" w:color="000000"/>
            </w:tcBorders>
            <w:tcMar>
              <w:top w:w="0" w:type="dxa"/>
              <w:left w:w="0" w:type="dxa"/>
              <w:right w:w="0" w:type="dxa"/>
            </w:tcMar>
            <w:vAlign w:val="center"/>
          </w:tcPr>
          <w:p>
            <w:pPr>
              <w:pStyle w:val="TableContents"/>
              <w:bidi w:val="0"/>
              <w:spacing w:before="18" w:after="283"/>
              <w:jc w:val="right"/>
              <w:rPr/>
            </w:pPr>
            <w:r>
              <w:rPr/>
              <w:t> </w:t>
            </w:r>
          </w:p>
        </w:tc>
        <w:tc>
          <w:tcPr>
            <w:tcW w:w="1563" w:type="dxa"/>
            <w:gridSpan w:val="2"/>
            <w:tcBorders>
              <w:bottom w:val="double" w:sz="4" w:space="0" w:color="000000"/>
            </w:tcBorders>
            <w:tcMar>
              <w:top w:w="0" w:type="dxa"/>
              <w:left w:w="0" w:type="dxa"/>
              <w:right w:w="0" w:type="dxa"/>
            </w:tcMar>
            <w:vAlign w:val="center"/>
          </w:tcPr>
          <w:p>
            <w:pPr>
              <w:pStyle w:val="TableContents"/>
              <w:bidi w:val="0"/>
              <w:spacing w:before="18" w:after="283"/>
              <w:ind w:left="0" w:right="0" w:firstLine="78"/>
              <w:jc w:val="right"/>
              <w:rPr>
                <w:rFonts w:ascii="sans-serif" w:hAnsi="sans-serif"/>
                <w:b/>
                <w:color w:val="000000"/>
                <w:sz w:val="18"/>
              </w:rPr>
            </w:pPr>
            <w:r>
              <w:rPr>
                <w:rFonts w:ascii="sans-serif" w:hAnsi="sans-serif"/>
                <w:b/>
                <w:color w:val="000000"/>
                <w:sz w:val="18"/>
              </w:rPr>
              <w:t>$2,691,450</w:t>
            </w:r>
          </w:p>
        </w:tc>
      </w:tr>
      <w:tr>
        <w:trPr/>
        <w:tc>
          <w:tcPr>
            <w:tcW w:w="6207" w:type="dxa"/>
            <w:tcBorders/>
            <w:tcMar>
              <w:top w:w="0" w:type="dxa"/>
              <w:left w:w="0" w:type="dxa"/>
              <w:bottom w:w="0" w:type="dxa"/>
              <w:right w:w="0" w:type="dxa"/>
            </w:tcMar>
            <w:vAlign w:val="center"/>
          </w:tcPr>
          <w:p>
            <w:pPr>
              <w:pStyle w:val="TableContents"/>
              <w:bidi w:val="0"/>
              <w:spacing w:before="17" w:after="283"/>
              <w:ind w:left="0" w:right="0" w:firstLine="78"/>
              <w:jc w:val="left"/>
              <w:rPr>
                <w:rFonts w:ascii="sans-serif" w:hAnsi="sans-serif"/>
                <w:color w:val="000000"/>
                <w:sz w:val="18"/>
              </w:rPr>
            </w:pPr>
            <w:r>
              <w:rPr>
                <w:rFonts w:ascii="sans-serif" w:hAnsi="sans-serif"/>
                <w:color w:val="000000"/>
                <w:sz w:val="18"/>
              </w:rPr>
              <w:t>SUPPLEMENTAL DISCLOSURES OF CASH FLOWINFORMATION:</w:t>
            </w:r>
          </w:p>
        </w:tc>
        <w:tc>
          <w:tcPr>
            <w:tcW w:w="1917" w:type="dxa"/>
            <w:tcBorders/>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ind w:left="0" w:right="0" w:firstLine="78"/>
              <w:jc w:val="right"/>
              <w:rPr/>
            </w:pPr>
            <w:r>
              <w:rPr/>
              <w:t> </w:t>
            </w:r>
          </w:p>
        </w:tc>
      </w:tr>
      <w:tr>
        <w:trPr/>
        <w:tc>
          <w:tcPr>
            <w:tcW w:w="6207" w:type="dxa"/>
            <w:tcBorders/>
            <w:tcMar>
              <w:top w:w="0" w:type="dxa"/>
              <w:left w:w="0" w:type="dxa"/>
              <w:bottom w:w="0" w:type="dxa"/>
              <w:right w:w="0" w:type="dxa"/>
            </w:tcMar>
            <w:vAlign w:val="center"/>
          </w:tcPr>
          <w:p>
            <w:pPr>
              <w:pStyle w:val="TableContents"/>
              <w:bidi w:val="0"/>
              <w:spacing w:before="0" w:after="283"/>
              <w:ind w:left="0" w:right="0" w:firstLine="78"/>
              <w:jc w:val="left"/>
              <w:rPr>
                <w:rFonts w:ascii="sans-serif" w:hAnsi="sans-serif"/>
                <w:color w:val="000000"/>
                <w:sz w:val="18"/>
              </w:rPr>
            </w:pPr>
            <w:r>
              <w:rPr>
                <w:rFonts w:ascii="sans-serif" w:hAnsi="sans-serif"/>
                <w:color w:val="000000"/>
                <w:sz w:val="18"/>
              </w:rPr>
              <w:t>Cash paid for interest</w:t>
            </w:r>
          </w:p>
        </w:tc>
        <w:tc>
          <w:tcPr>
            <w:tcW w:w="191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w:t>
            </w:r>
          </w:p>
        </w:tc>
        <w:tc>
          <w:tcPr>
            <w:tcW w:w="5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$214,813</w:t>
            </w:r>
          </w:p>
        </w:tc>
      </w:tr>
      <w:tr>
        <w:trPr/>
        <w:tc>
          <w:tcPr>
            <w:tcW w:w="10205" w:type="dxa"/>
            <w:gridSpan w:val="5"/>
            <w:tcBorders/>
            <w:tcMar>
              <w:top w:w="0" w:type="dxa"/>
              <w:left w:w="0" w:type="dxa"/>
              <w:bottom w:w="0" w:type="dxa"/>
              <w:right w:w="0" w:type="dxa"/>
            </w:tcMar>
            <w:vAlign w:val="center"/>
          </w:tcPr>
          <w:p>
            <w:pPr>
              <w:pStyle w:val="TableContents"/>
              <w:bidi w:val="0"/>
              <w:spacing w:before="49" w:after="283"/>
              <w:jc w:val="left"/>
              <w:rPr/>
            </w:pPr>
            <w:r>
              <w:rPr/>
              <w:t> </w:t>
            </w:r>
          </w:p>
          <w:p>
            <w:pPr>
              <w:pStyle w:val="TableContents"/>
              <w:bidi w:val="0"/>
              <w:spacing w:before="1" w:after="283"/>
              <w:jc w:val="left"/>
              <w:rPr/>
            </w:pPr>
            <w:r>
              <w:rPr/>
              <w:t> </w:t>
            </w:r>
          </w:p>
          <w:p>
            <w:pPr>
              <w:pStyle w:val="TableContents"/>
              <w:bidi w:val="0"/>
              <w:spacing w:before="1" w:after="283"/>
              <w:jc w:val="left"/>
              <w:rPr>
                <w:rFonts w:ascii="sans-serif" w:hAnsi="sans-serif"/>
                <w:color w:val="000000"/>
                <w:sz w:val="18"/>
              </w:rPr>
            </w:pPr>
            <w:r>
              <w:rPr>
                <w:rFonts w:ascii="sans-serif" w:hAnsi="sans-serif"/>
                <w:color w:val="000000"/>
                <w:sz w:val="18"/>
              </w:rPr>
              <w:t>The accompanying notes are an integral part of these condensed combined and consolidated financial statements.</w:t>
            </w:r>
          </w:p>
        </w:tc>
      </w:tr>
    </w:tbl>
    <w:p>
      <w:pPr>
        <w:pStyle w:val="TextBody"/>
        <w:bidi w:val="0"/>
        <w:jc w:val="left"/>
        <w:rPr/>
      </w:pPr>
      <w:r>
        <w:rPr/>
        <w:t>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kubra_holdings__inc__and_subsidiaries__a"/>
      <w:bookmarkEnd w:id="12"/>
      <w:r>
        <w:rPr>
          <w:rFonts w:ascii="sans-serif" w:hAnsi="sans-serif"/>
          <w:b/>
          <w:color w:val="000000"/>
          <w:sz w:val="23"/>
        </w:rPr>
        <w:t>KUBRA HOLDINGS, INC. AND SUBSIDIARIES, AND KUBRA DATA TRANSFER LTD.</w:t>
      </w:r>
      <w:r>
        <w:rPr>
          <w:rFonts w:ascii="Times New Roman" w:hAnsi="Times New Roman"/>
          <w:color w:val="000000"/>
          <w:sz w:val="20"/>
        </w:rPr>
        <w:t xml:space="preserve"> </w:t>
      </w:r>
      <w:bookmarkStart w:id="13" w:name="notes_to_combined_and_consolidated_finan"/>
      <w:bookmarkEnd w:id="13"/>
    </w:p>
    <w:p>
      <w:pPr>
        <w:pStyle w:val="TextBody"/>
        <w:bidi w:val="0"/>
        <w:jc w:val="left"/>
        <w:rPr>
          <w:rFonts w:ascii="sans-serif" w:hAnsi="sans-serif"/>
          <w:b/>
          <w:color w:val="000000"/>
          <w:sz w:val="23"/>
        </w:rPr>
      </w:pPr>
      <w:r>
        <w:rPr>
          <w:rFonts w:ascii="sans-serif" w:hAnsi="sans-serif"/>
          <w:b/>
          <w:color w:val="000000"/>
          <w:sz w:val="23"/>
        </w:rPr>
        <w:t>NOTES TO COMBINED AND CONSOLIDATED FINANCIAL STATEMENTS</w:t>
      </w:r>
    </w:p>
    <w:p>
      <w:pPr>
        <w:pStyle w:val="TextBody"/>
        <w:bidi w:val="0"/>
        <w:spacing w:before="271" w:after="283"/>
        <w:jc w:val="left"/>
        <w:rPr>
          <w:rFonts w:ascii="sans-serif" w:hAnsi="sans-serif"/>
          <w:b/>
          <w:color w:val="000000"/>
          <w:sz w:val="20"/>
        </w:rPr>
      </w:pPr>
      <w:r>
        <w:rPr>
          <w:rFonts w:ascii="sans-serif" w:hAnsi="sans-serif"/>
          <w:b/>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71" w:after="283"/>
        <w:jc w:val="left"/>
        <w:rPr>
          <w:rFonts w:ascii="sans-serif" w:hAnsi="sans-serif"/>
          <w:b/>
          <w:color w:val="000000"/>
          <w:sz w:val="20"/>
        </w:rPr>
      </w:pPr>
      <w:bookmarkStart w:id="14" w:name="x__description_of_business"/>
      <w:bookmarkEnd w:id="14"/>
      <w:r>
        <w:rPr>
          <w:rFonts w:ascii="sans-serif" w:hAnsi="sans-serif"/>
          <w:b/>
          <w:color w:val="000000"/>
          <w:sz w:val="20"/>
        </w:rPr>
        <w:t>DESCRIPTION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sans-serif" w:hAnsi="sans-serif"/>
          <w:color w:val="000000"/>
          <w:sz w:val="20"/>
        </w:rPr>
      </w:pPr>
      <w:r>
        <w:rPr>
          <w:rFonts w:ascii="sans-serif" w:hAnsi="sans-serif"/>
          <w:color w:val="000000"/>
          <w:sz w:val="20"/>
        </w:rPr>
        <w:t>KUBRA Data Transfer Ltd. (the "King Canada") is a Canadian company incorporated under the laws of Ontario in 1992. KUBRA Holdings, Inc. and subsidiaries, a Delaware corporation (“King US”, and together with King Canada, the “Company”). The Company is an industry-leading provider of customer experience management solutions to some of the largest utility, government, and insurance entities in North America. The Company’s platform offering includes billing and payments, alerts and preference management, artificial intelligence solutions, mobile apps, and utility mapping solutions.</w:t>
      </w:r>
    </w:p>
    <w:p>
      <w:pPr>
        <w:pStyle w:val="TextBody"/>
        <w:bidi w:val="0"/>
        <w:spacing w:before="120" w:after="283"/>
        <w:jc w:val="both"/>
        <w:rPr>
          <w:rFonts w:ascii="sans-serif" w:hAnsi="sans-serif"/>
          <w:color w:val="000000"/>
          <w:sz w:val="20"/>
        </w:rPr>
      </w:pPr>
      <w:r>
        <w:rPr>
          <w:rFonts w:ascii="sans-serif" w:hAnsi="sans-serif"/>
          <w:color w:val="000000"/>
          <w:sz w:val="20"/>
        </w:rPr>
        <w:t>The Company is located and headquartered in Mississauga, Ontario. Other offices operated by the Company are in Piscataway, New Jersey, Coppell, Texas, Gardena, California and Tempe, Arizona. All subsidiaries are wholly owned by the Company. The Company’s revenues are derived primarily from operations in the United States and Canada.</w:t>
      </w:r>
    </w:p>
    <w:p>
      <w:pPr>
        <w:pStyle w:val="TextBody"/>
        <w:bidi w:val="0"/>
        <w:spacing w:before="120" w:after="283"/>
        <w:jc w:val="both"/>
        <w:rPr>
          <w:rFonts w:ascii="Times New Roman" w:hAnsi="Times New Roman"/>
          <w:sz w:val="20"/>
        </w:rPr>
      </w:pPr>
      <w:r>
        <w:rPr>
          <w:rFonts w:ascii="sans-serif" w:hAnsi="sans-serif"/>
          <w:b/>
          <w:color w:val="000000"/>
          <w:sz w:val="20"/>
        </w:rPr>
        <w:t>Risks and Uncertainties</w:t>
      </w:r>
      <w:r>
        <w:rPr>
          <w:rFonts w:ascii="sans-serif" w:hAnsi="sans-serif"/>
          <w:color w:val="000000"/>
          <w:sz w:val="20"/>
        </w:rPr>
        <w:t>:</w:t>
      </w:r>
    </w:p>
    <w:p>
      <w:pPr>
        <w:pStyle w:val="TextBody"/>
        <w:bidi w:val="0"/>
        <w:spacing w:before="120" w:after="283"/>
        <w:jc w:val="both"/>
        <w:rPr>
          <w:rFonts w:ascii="sans-serif" w:hAnsi="sans-serif"/>
          <w:color w:val="000000"/>
          <w:sz w:val="20"/>
        </w:rPr>
      </w:pPr>
      <w:bookmarkStart w:id="15" w:name="x__summary_of_significant_accounting_pol"/>
      <w:bookmarkEnd w:id="15"/>
      <w:r>
        <w:rPr>
          <w:rFonts w:ascii="sans-serif" w:hAnsi="sans-serif"/>
          <w:color w:val="000000"/>
          <w:sz w:val="20"/>
        </w:rPr>
        <w:t>The Company is subject to a number of risks similar to those of other companies of similar size in its industry, including, but not limited to, the need for successful development of products, the need for additional capital to fund operations, competition from substitute products and services from larger companies, protection of proprietary technology, dependence on key individuals, and risks associated with changes in information technology.</w:t>
      </w:r>
    </w:p>
    <w:p>
      <w:pPr>
        <w:pStyle w:val="TextBody"/>
        <w:bidi w:val="0"/>
        <w:spacing w:before="120" w:after="283"/>
        <w:jc w:val="left"/>
        <w:rPr>
          <w:rFonts w:ascii="sans-serif" w:hAnsi="sans-serif"/>
          <w:b/>
          <w:color w:val="000000"/>
          <w:sz w:val="20"/>
        </w:rPr>
      </w:pPr>
      <w:r>
        <w:rPr>
          <w:rFonts w:ascii="sans-serif" w:hAnsi="sans-serif"/>
          <w:b/>
          <w:color w:val="000000"/>
          <w:sz w:val="20"/>
        </w:rPr>
        <w:t>2.</w:t>
      </w:r>
    </w:p>
    <w:p>
      <w:pPr>
        <w:pStyle w:val="TextBody"/>
        <w:bidi w:val="0"/>
        <w:spacing w:before="120" w:after="283"/>
        <w:jc w:val="left"/>
        <w:rPr>
          <w:rFonts w:ascii="sans-serif" w:hAnsi="sans-serif"/>
          <w:b/>
          <w:color w:val="000000"/>
          <w:sz w:val="20"/>
        </w:rPr>
      </w:pPr>
      <w:r>
        <w:rPr>
          <w:rFonts w:ascii="sans-serif" w:hAnsi="sans-serif"/>
          <w:b/>
          <w:color w:val="000000"/>
          <w:sz w:val="20"/>
        </w:rPr>
        <w:t>SUMMARY OF SIGNIFICANT ACCOUNTING POLICIES</w:t>
      </w:r>
    </w:p>
    <w:p>
      <w:pPr>
        <w:pStyle w:val="TextBody"/>
        <w:bidi w:val="0"/>
        <w:spacing w:before="120" w:after="283"/>
        <w:jc w:val="both"/>
        <w:rPr>
          <w:rFonts w:ascii="sans-serif" w:hAnsi="sans-serif"/>
          <w:b/>
          <w:color w:val="000000"/>
          <w:sz w:val="20"/>
        </w:rPr>
      </w:pPr>
      <w:r>
        <w:rPr>
          <w:rFonts w:ascii="sans-serif" w:hAnsi="sans-serif"/>
          <w:b/>
          <w:color w:val="000000"/>
          <w:sz w:val="20"/>
        </w:rPr>
        <w:t>Basis of Presentation:</w:t>
      </w:r>
    </w:p>
    <w:p>
      <w:pPr>
        <w:pStyle w:val="TextBody"/>
        <w:bidi w:val="0"/>
        <w:spacing w:before="120" w:after="283"/>
        <w:jc w:val="both"/>
        <w:rPr>
          <w:rFonts w:ascii="Times New Roman" w:hAnsi="Times New Roman"/>
          <w:sz w:val="20"/>
        </w:rPr>
      </w:pPr>
      <w:r>
        <w:rPr>
          <w:rFonts w:ascii="sans-serif" w:hAnsi="sans-serif"/>
          <w:color w:val="000000"/>
          <w:sz w:val="20"/>
        </w:rPr>
        <w:t xml:space="preserve">The combined and consolidated financial statements have been prepared in accordance with accounting principles generally accepted in the United States of America (U.S. GAAP). These unaudited condensed combined and consolidated financial statements have been prepared in accordance with U.S. GAAP for interim financial information and the requirements of </w:t>
      </w:r>
      <w:r>
        <w:rPr>
          <w:rFonts w:ascii="sans-serif" w:hAnsi="sans-serif"/>
          <w:i/>
          <w:color w:val="000000"/>
          <w:sz w:val="20"/>
        </w:rPr>
        <w:t>ASC 270, Interim Reporting</w:t>
      </w:r>
      <w:r>
        <w:rPr>
          <w:rFonts w:ascii="sans-serif" w:hAnsi="sans-serif"/>
          <w:color w:val="000000"/>
          <w:sz w:val="20"/>
        </w:rPr>
        <w:t>. Accordingly, they do not include all of the information and footnote disclosures required by U.S. GAAP for complete annual financial statements. In the opinion of management, all adjustments (consisting of normal recurring accruals) considered necessary for a fair presentation of the Company's financial position, results of operations, and cash flows for the interim periods presented have been included. The results of operations for the three months ended March 31, 2026 are not necessarily indicative of the results to be expected for the year ending December 31, 2026, or for any other interim period. These interim financial statements should be read in conjunction with the Company's audited combined and consolidated financial statements and related notes as of and for the year ended December 31, 2025.</w:t>
      </w:r>
    </w:p>
    <w:p>
      <w:pPr>
        <w:pStyle w:val="TextBody"/>
        <w:bidi w:val="0"/>
        <w:spacing w:before="120" w:after="283"/>
        <w:jc w:val="both"/>
        <w:rPr>
          <w:rFonts w:ascii="sans-serif" w:hAnsi="sans-serif"/>
          <w:b/>
          <w:color w:val="000000"/>
          <w:sz w:val="20"/>
        </w:rPr>
      </w:pPr>
      <w:r>
        <w:rPr>
          <w:rFonts w:ascii="sans-serif" w:hAnsi="sans-serif"/>
          <w:b/>
          <w:color w:val="000000"/>
          <w:sz w:val="20"/>
        </w:rPr>
        <w:t>Basis of Consolidation:</w:t>
      </w:r>
    </w:p>
    <w:p>
      <w:pPr>
        <w:pStyle w:val="TextBody"/>
        <w:bidi w:val="0"/>
        <w:spacing w:before="120" w:after="283"/>
        <w:jc w:val="both"/>
        <w:rPr>
          <w:rFonts w:ascii="sans-serif" w:hAnsi="sans-serif"/>
          <w:color w:val="000000"/>
          <w:sz w:val="20"/>
        </w:rPr>
      </w:pPr>
      <w:r>
        <w:rPr>
          <w:rFonts w:ascii="sans-serif" w:hAnsi="sans-serif"/>
          <w:color w:val="000000"/>
          <w:sz w:val="20"/>
        </w:rPr>
        <w:t>The combined and consolidated financial statements include the accounts of the Company and its wholly owned subsidiaries, KUBRA Management Inc., KUBRA Holdings Inc., KUBRA Investment Corp., KUBRA Acquisition Corp., KUBRA Data Transfer Ltd. (U.S.), KUBRA America West Inc., KUBRA America South East Inc., KUBRA Tennessee LLC, FormMaker Software Inc., KUBRA Arizona Inc., Matrix Digital Technologies Inc., Newbridge Information Services, Inc and DropCountr Inc. All intercompany balances and transactions have been eliminated in consolidation.</w:t>
      </w:r>
    </w:p>
    <w:p>
      <w:pPr>
        <w:pStyle w:val="TextBody"/>
        <w:bidi w:val="0"/>
        <w:spacing w:before="120" w:after="283"/>
        <w:jc w:val="both"/>
        <w:rPr>
          <w:rFonts w:ascii="sans-serif" w:hAnsi="sans-serif"/>
          <w:b/>
          <w:color w:val="000000"/>
          <w:sz w:val="20"/>
        </w:rPr>
      </w:pPr>
      <w:r>
        <w:rPr>
          <w:rFonts w:ascii="sans-serif" w:hAnsi="sans-serif"/>
          <w:b/>
          <w:color w:val="000000"/>
          <w:sz w:val="20"/>
        </w:rPr>
        <w:t>Use of Estimates:</w:t>
      </w:r>
    </w:p>
    <w:p>
      <w:pPr>
        <w:pStyle w:val="TextBody"/>
        <w:bidi w:val="0"/>
        <w:spacing w:before="120" w:after="283"/>
        <w:jc w:val="both"/>
        <w:rPr>
          <w:rFonts w:ascii="sans-serif" w:hAnsi="sans-serif"/>
          <w:color w:val="000000"/>
          <w:sz w:val="20"/>
        </w:rPr>
      </w:pPr>
      <w:r>
        <w:rPr>
          <w:rFonts w:ascii="sans-serif" w:hAnsi="sans-serif"/>
          <w:color w:val="000000"/>
          <w:sz w:val="20"/>
        </w:rPr>
        <w:t>The preparation of financial statements in accordance with US GAAP requires management to make estimates and assumptions that affect the reported amounts of assets and liabilities and disclosure of contingent assets and liabilities at the date of the combined and consolidated financial statements, and the reported amounts of income and expense during the reporting period. The most significant estimates relate to the selection of useful lives of property and equipment, capitalization of internally developed software and associated useful lives, acquired intangible assets, allowance for credit losses.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combined and consolidated financial statements; therefore, actual results could differ from those estimates.</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sans-serif" w:hAnsi="sans-serif"/>
          <w:b/>
          <w:color w:val="000000"/>
          <w:sz w:val="20"/>
        </w:rPr>
        <w:t>Concentrations of Credit Risk</w:t>
      </w:r>
      <w:r>
        <w:rPr>
          <w:rFonts w:ascii="sans-serif" w:hAnsi="sans-serif"/>
          <w:color w:val="000000"/>
          <w:sz w:val="20"/>
        </w:rPr>
        <w:t>:</w:t>
      </w:r>
    </w:p>
    <w:p>
      <w:pPr>
        <w:pStyle w:val="TextBody"/>
        <w:bidi w:val="0"/>
        <w:spacing w:before="120" w:after="283"/>
        <w:jc w:val="both"/>
        <w:rPr>
          <w:rFonts w:ascii="sans-serif" w:hAnsi="sans-serif"/>
          <w:color w:val="000000"/>
          <w:sz w:val="20"/>
        </w:rPr>
      </w:pPr>
      <w:bookmarkStart w:id="16" w:name="x__property_and_equipment1"/>
      <w:bookmarkEnd w:id="16"/>
      <w:r>
        <w:rPr>
          <w:rFonts w:ascii="sans-serif" w:hAnsi="sans-serif"/>
          <w:color w:val="000000"/>
          <w:sz w:val="20"/>
        </w:rPr>
        <w:t>Financial instruments that potentially subject the Company to concentration of credit risk consist primarily of cash and cash equivalents and trade accounts receivable. The Company holds its excess cash in checking accounts with one of the major financial institutions.</w:t>
      </w:r>
    </w:p>
    <w:p>
      <w:pPr>
        <w:pStyle w:val="TextBody"/>
        <w:bidi w:val="0"/>
        <w:spacing w:before="120" w:after="283"/>
        <w:jc w:val="left"/>
        <w:rPr>
          <w:rFonts w:ascii="sans-serif" w:hAnsi="sans-serif"/>
          <w:b/>
          <w:color w:val="000000"/>
          <w:sz w:val="20"/>
        </w:rPr>
      </w:pPr>
      <w:r>
        <w:rPr>
          <w:rFonts w:ascii="sans-serif" w:hAnsi="sans-serif"/>
          <w:b/>
          <w:color w:val="000000"/>
          <w:sz w:val="20"/>
        </w:rPr>
        <w:t>3.</w:t>
      </w:r>
    </w:p>
    <w:p>
      <w:pPr>
        <w:pStyle w:val="TextBody"/>
        <w:bidi w:val="0"/>
        <w:spacing w:before="120" w:after="283"/>
        <w:jc w:val="left"/>
        <w:rPr>
          <w:rFonts w:ascii="sans-serif" w:hAnsi="sans-serif"/>
          <w:b/>
          <w:color w:val="000000"/>
          <w:sz w:val="20"/>
        </w:rPr>
      </w:pPr>
      <w:r>
        <w:rPr>
          <w:rFonts w:ascii="sans-serif" w:hAnsi="sans-serif"/>
          <w:b/>
          <w:color w:val="000000"/>
          <w:sz w:val="20"/>
        </w:rPr>
        <w:t>PROPERTY AND EQUIPMENT</w:t>
      </w:r>
    </w:p>
    <w:p>
      <w:pPr>
        <w:pStyle w:val="TextBody"/>
        <w:bidi w:val="0"/>
        <w:spacing w:before="120" w:after="283"/>
        <w:jc w:val="both"/>
        <w:rPr>
          <w:rFonts w:ascii="sans-serif" w:hAnsi="sans-serif"/>
          <w:color w:val="000000"/>
          <w:sz w:val="20"/>
        </w:rPr>
      </w:pPr>
      <w:r>
        <w:rPr>
          <w:rFonts w:ascii="sans-serif" w:hAnsi="sans-serif"/>
          <w:color w:val="000000"/>
          <w:sz w:val="20"/>
        </w:rPr>
        <w:t>Property and equipment as of March 31, 2026 and December 31, 2025, are composed of the following:</w:t>
      </w:r>
    </w:p>
    <w:p>
      <w:pPr>
        <w:pStyle w:val="TextBody"/>
        <w:bidi w:val="0"/>
        <w:spacing w:before="120" w:after="283"/>
        <w:jc w:val="left"/>
        <w:rPr/>
      </w:pPr>
      <w:r>
        <w:rPr/>
        <w:t> </w:t>
      </w:r>
    </w:p>
    <w:tbl>
      <w:tblPr>
        <w:tblW w:w="8031" w:type="dxa"/>
        <w:jc w:val="left"/>
        <w:tblInd w:w="0" w:type="dxa"/>
        <w:tblLayout w:type="fixed"/>
        <w:tblCellMar>
          <w:top w:w="28" w:type="dxa"/>
          <w:left w:w="28" w:type="dxa"/>
          <w:bottom w:w="28" w:type="dxa"/>
          <w:right w:w="28" w:type="dxa"/>
        </w:tblCellMar>
      </w:tblPr>
      <w:tblGrid>
        <w:gridCol w:w="3673"/>
        <w:gridCol w:w="1816"/>
        <w:gridCol w:w="148"/>
        <w:gridCol w:w="2394"/>
      </w:tblGrid>
      <w:tr>
        <w:trPr/>
        <w:tc>
          <w:tcPr>
            <w:tcW w:w="3673"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r>
      <w:tr>
        <w:trPr/>
        <w:tc>
          <w:tcPr>
            <w:tcW w:w="367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120" w:after="283"/>
              <w:jc w:val="center"/>
              <w:rPr>
                <w:rFonts w:ascii="sans-serif" w:hAnsi="sans-serif"/>
                <w:b/>
                <w:color w:val="000000"/>
                <w:sz w:val="20"/>
              </w:rPr>
            </w:pPr>
            <w:r>
              <w:rPr>
                <w:rFonts w:ascii="sans-serif" w:hAnsi="sans-serif"/>
                <w:b/>
                <w:color w:val="000000"/>
                <w:sz w:val="20"/>
              </w:rPr>
              <w:t>March 31, 2026</w:t>
            </w:r>
          </w:p>
        </w:tc>
        <w:tc>
          <w:tcPr>
            <w:tcW w:w="148" w:type="dxa"/>
            <w:tcBorders/>
            <w:tcMar>
              <w:top w:w="0" w:type="dxa"/>
              <w:left w:w="0" w:type="dxa"/>
              <w:bottom w:w="0" w:type="dxa"/>
              <w:right w:w="0" w:type="dxa"/>
            </w:tcMar>
            <w:vAlign w:val="center"/>
          </w:tcPr>
          <w:p>
            <w:pPr>
              <w:pStyle w:val="TableContents"/>
              <w:bidi w:val="0"/>
              <w:spacing w:before="120" w:after="283"/>
              <w:ind w:left="0" w:right="0" w:firstLine="2"/>
              <w:jc w:val="center"/>
              <w:rPr/>
            </w:pPr>
            <w:r>
              <w:rPr/>
              <w:t> </w:t>
            </w:r>
          </w:p>
        </w:tc>
        <w:tc>
          <w:tcPr>
            <w:tcW w:w="2394" w:type="dxa"/>
            <w:tcBorders/>
            <w:tcMar>
              <w:top w:w="0" w:type="dxa"/>
              <w:left w:w="0" w:type="dxa"/>
              <w:bottom w:w="0" w:type="dxa"/>
              <w:right w:w="0" w:type="dxa"/>
            </w:tcMar>
            <w:vAlign w:val="center"/>
          </w:tcPr>
          <w:p>
            <w:pPr>
              <w:pStyle w:val="TableContents"/>
              <w:bidi w:val="0"/>
              <w:spacing w:before="120" w:after="283"/>
              <w:ind w:left="0" w:right="0" w:firstLine="83"/>
              <w:jc w:val="center"/>
              <w:rPr>
                <w:rFonts w:ascii="sans-serif" w:hAnsi="sans-serif"/>
                <w:b/>
                <w:color w:val="000000"/>
                <w:sz w:val="20"/>
              </w:rPr>
            </w:pPr>
            <w:r>
              <w:rPr>
                <w:rFonts w:ascii="sans-serif" w:hAnsi="sans-serif"/>
                <w:b/>
                <w:color w:val="000000"/>
                <w:sz w:val="20"/>
              </w:rPr>
              <w:t>December 31, 2025</w:t>
            </w:r>
          </w:p>
        </w:tc>
      </w:tr>
      <w:tr>
        <w:trPr/>
        <w:tc>
          <w:tcPr>
            <w:tcW w:w="3673" w:type="dxa"/>
            <w:tcBorders/>
            <w:tcMar>
              <w:top w:w="0" w:type="dxa"/>
              <w:left w:w="0" w:type="dxa"/>
              <w:bottom w:w="0" w:type="dxa"/>
              <w:right w:w="0" w:type="dxa"/>
            </w:tcMar>
            <w:vAlign w:val="center"/>
          </w:tcPr>
          <w:p>
            <w:pPr>
              <w:pStyle w:val="TableContents"/>
              <w:bidi w:val="0"/>
              <w:spacing w:before="120" w:after="283"/>
              <w:ind w:left="0" w:right="0" w:firstLine="83"/>
              <w:jc w:val="left"/>
              <w:rPr>
                <w:rFonts w:ascii="sans-serif" w:hAnsi="sans-serif"/>
                <w:color w:val="000000"/>
                <w:sz w:val="20"/>
              </w:rPr>
            </w:pPr>
            <w:r>
              <w:rPr>
                <w:rFonts w:ascii="sans-serif" w:hAnsi="sans-serif"/>
                <w:color w:val="000000"/>
                <w:sz w:val="20"/>
              </w:rPr>
              <w:t>Computer equipment</w:t>
            </w:r>
          </w:p>
        </w:tc>
        <w:tc>
          <w:tcPr>
            <w:tcW w:w="1816"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$12,016,467</w:t>
            </w:r>
          </w:p>
        </w:tc>
        <w:tc>
          <w:tcPr>
            <w:tcW w:w="148" w:type="dxa"/>
            <w:tcBorders/>
            <w:tcMar>
              <w:top w:w="0" w:type="dxa"/>
              <w:left w:w="0" w:type="dxa"/>
              <w:bottom w:w="0" w:type="dxa"/>
              <w:right w:w="0" w:type="dxa"/>
            </w:tcMar>
            <w:vAlign w:val="center"/>
          </w:tcPr>
          <w:p>
            <w:pPr>
              <w:pStyle w:val="TableContents"/>
              <w:bidi w:val="0"/>
              <w:spacing w:before="120" w:after="283"/>
              <w:jc w:val="right"/>
              <w:rPr/>
            </w:pPr>
            <w:r>
              <w:rPr/>
              <w:t> </w:t>
            </w:r>
          </w:p>
        </w:tc>
        <w:tc>
          <w:tcPr>
            <w:tcW w:w="2394" w:type="dxa"/>
            <w:tcBorders/>
            <w:tcMar>
              <w:top w:w="0" w:type="dxa"/>
              <w:left w:w="0" w:type="dxa"/>
              <w:bottom w:w="0" w:type="dxa"/>
              <w:right w:w="0" w:type="dxa"/>
            </w:tcMar>
            <w:vAlign w:val="center"/>
          </w:tcPr>
          <w:p>
            <w:pPr>
              <w:pStyle w:val="TableContents"/>
              <w:bidi w:val="0"/>
              <w:spacing w:before="120" w:after="283"/>
              <w:ind w:left="0" w:right="0" w:firstLine="83"/>
              <w:jc w:val="right"/>
              <w:rPr>
                <w:rFonts w:ascii="sans-serif" w:hAnsi="sans-serif"/>
                <w:color w:val="000000"/>
                <w:sz w:val="20"/>
              </w:rPr>
            </w:pPr>
            <w:r>
              <w:rPr>
                <w:rFonts w:ascii="sans-serif" w:hAnsi="sans-serif"/>
                <w:color w:val="000000"/>
                <w:sz w:val="20"/>
              </w:rPr>
              <w:t>$12,094,019</w:t>
            </w:r>
          </w:p>
        </w:tc>
      </w:tr>
      <w:tr>
        <w:trPr/>
        <w:tc>
          <w:tcPr>
            <w:tcW w:w="3673" w:type="dxa"/>
            <w:tcBorders/>
            <w:tcMar>
              <w:top w:w="0" w:type="dxa"/>
              <w:left w:w="0" w:type="dxa"/>
              <w:bottom w:w="0" w:type="dxa"/>
              <w:right w:w="0" w:type="dxa"/>
            </w:tcMar>
            <w:vAlign w:val="center"/>
          </w:tcPr>
          <w:p>
            <w:pPr>
              <w:pStyle w:val="TableContents"/>
              <w:bidi w:val="0"/>
              <w:spacing w:before="120" w:after="283"/>
              <w:ind w:left="0" w:right="0" w:firstLine="83"/>
              <w:jc w:val="left"/>
              <w:rPr>
                <w:rFonts w:ascii="sans-serif" w:hAnsi="sans-serif"/>
                <w:color w:val="000000"/>
                <w:sz w:val="20"/>
              </w:rPr>
            </w:pPr>
            <w:r>
              <w:rPr>
                <w:rFonts w:ascii="sans-serif" w:hAnsi="sans-serif"/>
                <w:color w:val="000000"/>
                <w:sz w:val="20"/>
              </w:rPr>
              <w:t>Furniture and equipment</w:t>
            </w:r>
          </w:p>
        </w:tc>
        <w:tc>
          <w:tcPr>
            <w:tcW w:w="1816"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29,117,354</w:t>
            </w:r>
          </w:p>
        </w:tc>
        <w:tc>
          <w:tcPr>
            <w:tcW w:w="148" w:type="dxa"/>
            <w:tcBorders/>
            <w:tcMar>
              <w:top w:w="0" w:type="dxa"/>
              <w:left w:w="0" w:type="dxa"/>
              <w:bottom w:w="0" w:type="dxa"/>
              <w:right w:w="0" w:type="dxa"/>
            </w:tcMar>
            <w:vAlign w:val="center"/>
          </w:tcPr>
          <w:p>
            <w:pPr>
              <w:pStyle w:val="TableContents"/>
              <w:bidi w:val="0"/>
              <w:spacing w:before="120" w:after="283"/>
              <w:jc w:val="right"/>
              <w:rPr/>
            </w:pPr>
            <w:r>
              <w:rPr/>
              <w:t> </w:t>
            </w:r>
          </w:p>
        </w:tc>
        <w:tc>
          <w:tcPr>
            <w:tcW w:w="2394" w:type="dxa"/>
            <w:tcBorders/>
            <w:tcMar>
              <w:top w:w="0" w:type="dxa"/>
              <w:left w:w="0" w:type="dxa"/>
              <w:bottom w:w="0" w:type="dxa"/>
              <w:right w:w="0" w:type="dxa"/>
            </w:tcMar>
            <w:vAlign w:val="center"/>
          </w:tcPr>
          <w:p>
            <w:pPr>
              <w:pStyle w:val="TableContents"/>
              <w:bidi w:val="0"/>
              <w:spacing w:before="120" w:after="283"/>
              <w:ind w:left="0" w:right="0" w:firstLine="83"/>
              <w:jc w:val="right"/>
              <w:rPr>
                <w:rFonts w:ascii="sans-serif" w:hAnsi="sans-serif"/>
                <w:color w:val="000000"/>
                <w:sz w:val="20"/>
              </w:rPr>
            </w:pPr>
            <w:r>
              <w:rPr>
                <w:rFonts w:ascii="sans-serif" w:hAnsi="sans-serif"/>
                <w:color w:val="000000"/>
                <w:sz w:val="20"/>
              </w:rPr>
              <w:t>29,098,135</w:t>
            </w:r>
          </w:p>
        </w:tc>
      </w:tr>
      <w:tr>
        <w:trPr/>
        <w:tc>
          <w:tcPr>
            <w:tcW w:w="3673" w:type="dxa"/>
            <w:tcBorders/>
            <w:tcMar>
              <w:top w:w="0" w:type="dxa"/>
              <w:left w:w="0" w:type="dxa"/>
              <w:bottom w:w="0" w:type="dxa"/>
              <w:right w:w="0" w:type="dxa"/>
            </w:tcMar>
            <w:vAlign w:val="center"/>
          </w:tcPr>
          <w:p>
            <w:pPr>
              <w:pStyle w:val="TableContents"/>
              <w:bidi w:val="0"/>
              <w:spacing w:before="120" w:after="283"/>
              <w:ind w:left="0" w:right="0" w:firstLine="83"/>
              <w:jc w:val="left"/>
              <w:rPr>
                <w:rFonts w:ascii="sans-serif" w:hAnsi="sans-serif"/>
                <w:color w:val="000000"/>
                <w:sz w:val="20"/>
              </w:rPr>
            </w:pPr>
            <w:r>
              <w:rPr>
                <w:rFonts w:ascii="sans-serif" w:hAnsi="sans-serif"/>
                <w:color w:val="000000"/>
                <w:sz w:val="20"/>
              </w:rPr>
              <w:t>Other</w:t>
            </w:r>
          </w:p>
        </w:tc>
        <w:tc>
          <w:tcPr>
            <w:tcW w:w="1816" w:type="dxa"/>
            <w:tcBorders>
              <w:bottom w:val="sing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9,066,712</w:t>
            </w:r>
          </w:p>
        </w:tc>
        <w:tc>
          <w:tcPr>
            <w:tcW w:w="148" w:type="dxa"/>
            <w:tcBorders>
              <w:bottom w:val="single" w:sz="4" w:space="0" w:color="000000"/>
            </w:tcBorders>
            <w:tcMar>
              <w:top w:w="0" w:type="dxa"/>
              <w:left w:w="0" w:type="dxa"/>
              <w:right w:w="0" w:type="dxa"/>
            </w:tcMar>
            <w:vAlign w:val="center"/>
          </w:tcPr>
          <w:p>
            <w:pPr>
              <w:pStyle w:val="TableContents"/>
              <w:bidi w:val="0"/>
              <w:spacing w:before="120" w:after="283"/>
              <w:jc w:val="right"/>
              <w:rPr/>
            </w:pPr>
            <w:r>
              <w:rPr/>
              <w:t> </w:t>
            </w:r>
          </w:p>
        </w:tc>
        <w:tc>
          <w:tcPr>
            <w:tcW w:w="2394" w:type="dxa"/>
            <w:tcBorders>
              <w:bottom w:val="single" w:sz="4" w:space="0" w:color="000000"/>
            </w:tcBorders>
            <w:tcMar>
              <w:top w:w="0" w:type="dxa"/>
              <w:left w:w="0" w:type="dxa"/>
              <w:right w:w="0" w:type="dxa"/>
            </w:tcMar>
            <w:vAlign w:val="center"/>
          </w:tcPr>
          <w:p>
            <w:pPr>
              <w:pStyle w:val="TableContents"/>
              <w:bidi w:val="0"/>
              <w:spacing w:before="120" w:after="283"/>
              <w:ind w:left="0" w:right="0" w:firstLine="642"/>
              <w:jc w:val="right"/>
              <w:rPr>
                <w:rFonts w:ascii="sans-serif" w:hAnsi="sans-serif"/>
                <w:color w:val="000000"/>
                <w:sz w:val="20"/>
              </w:rPr>
            </w:pPr>
            <w:r>
              <w:rPr>
                <w:rFonts w:ascii="sans-serif" w:hAnsi="sans-serif"/>
                <w:color w:val="000000"/>
                <w:sz w:val="20"/>
              </w:rPr>
              <w:t>8,904,456</w:t>
            </w:r>
          </w:p>
        </w:tc>
      </w:tr>
      <w:tr>
        <w:trPr/>
        <w:tc>
          <w:tcPr>
            <w:tcW w:w="3673" w:type="dxa"/>
            <w:tcBorders/>
            <w:tcMar>
              <w:top w:w="0" w:type="dxa"/>
              <w:left w:w="0" w:type="dxa"/>
              <w:bottom w:w="0" w:type="dxa"/>
              <w:right w:w="0" w:type="dxa"/>
            </w:tcMar>
            <w:vAlign w:val="center"/>
          </w:tcPr>
          <w:p>
            <w:pPr>
              <w:pStyle w:val="TableContents"/>
              <w:bidi w:val="0"/>
              <w:spacing w:before="120" w:after="283"/>
              <w:ind w:left="0" w:right="0" w:firstLine="642"/>
              <w:jc w:val="left"/>
              <w:rPr>
                <w:rFonts w:ascii="sans-serif" w:hAnsi="sans-serif"/>
                <w:color w:val="000000"/>
                <w:sz w:val="20"/>
              </w:rPr>
            </w:pPr>
            <w:r>
              <w:rPr>
                <w:rFonts w:ascii="sans-serif" w:hAnsi="sans-serif"/>
                <w:color w:val="000000"/>
                <w:sz w:val="20"/>
              </w:rPr>
              <w:t>Total property and equipment</w:t>
            </w:r>
          </w:p>
        </w:tc>
        <w:tc>
          <w:tcPr>
            <w:tcW w:w="1816" w:type="dxa"/>
            <w:tcBorders>
              <w:bottom w:val="sing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50,200,533</w:t>
            </w:r>
          </w:p>
        </w:tc>
        <w:tc>
          <w:tcPr>
            <w:tcW w:w="148" w:type="dxa"/>
            <w:tcBorders>
              <w:bottom w:val="single" w:sz="4" w:space="0" w:color="000000"/>
            </w:tcBorders>
            <w:tcMar>
              <w:top w:w="0" w:type="dxa"/>
              <w:left w:w="0" w:type="dxa"/>
              <w:right w:w="0" w:type="dxa"/>
            </w:tcMar>
            <w:vAlign w:val="center"/>
          </w:tcPr>
          <w:p>
            <w:pPr>
              <w:pStyle w:val="TableContents"/>
              <w:bidi w:val="0"/>
              <w:spacing w:before="120" w:after="283"/>
              <w:jc w:val="right"/>
              <w:rPr/>
            </w:pPr>
            <w:r>
              <w:rPr/>
              <w:t> </w:t>
            </w:r>
          </w:p>
        </w:tc>
        <w:tc>
          <w:tcPr>
            <w:tcW w:w="2394" w:type="dxa"/>
            <w:tcBorders>
              <w:bottom w:val="single" w:sz="4" w:space="0" w:color="000000"/>
            </w:tcBorders>
            <w:tcMar>
              <w:top w:w="0" w:type="dxa"/>
              <w:left w:w="0" w:type="dxa"/>
              <w:right w:w="0" w:type="dxa"/>
            </w:tcMar>
            <w:vAlign w:val="center"/>
          </w:tcPr>
          <w:p>
            <w:pPr>
              <w:pStyle w:val="TableContents"/>
              <w:bidi w:val="0"/>
              <w:spacing w:before="120" w:after="283"/>
              <w:ind w:left="0" w:right="0" w:firstLine="50"/>
              <w:jc w:val="right"/>
              <w:rPr>
                <w:rFonts w:ascii="sans-serif" w:hAnsi="sans-serif"/>
                <w:color w:val="000000"/>
                <w:sz w:val="20"/>
              </w:rPr>
            </w:pPr>
            <w:r>
              <w:rPr>
                <w:rFonts w:ascii="sans-serif" w:hAnsi="sans-serif"/>
                <w:color w:val="000000"/>
                <w:sz w:val="20"/>
              </w:rPr>
              <w:t>50,096,610</w:t>
            </w:r>
          </w:p>
        </w:tc>
      </w:tr>
      <w:tr>
        <w:trPr/>
        <w:tc>
          <w:tcPr>
            <w:tcW w:w="3673" w:type="dxa"/>
            <w:tcBorders/>
            <w:tcMar>
              <w:top w:w="0" w:type="dxa"/>
              <w:left w:w="0" w:type="dxa"/>
              <w:bottom w:w="0" w:type="dxa"/>
              <w:right w:w="0" w:type="dxa"/>
            </w:tcMar>
            <w:vAlign w:val="center"/>
          </w:tcPr>
          <w:p>
            <w:pPr>
              <w:pStyle w:val="TableContents"/>
              <w:bidi w:val="0"/>
              <w:spacing w:before="120" w:after="283"/>
              <w:ind w:left="0" w:right="0" w:firstLine="50"/>
              <w:jc w:val="left"/>
              <w:rPr>
                <w:rFonts w:ascii="sans-serif" w:hAnsi="sans-serif"/>
                <w:color w:val="000000"/>
                <w:sz w:val="20"/>
              </w:rPr>
            </w:pPr>
            <w:r>
              <w:rPr>
                <w:rFonts w:ascii="sans-serif" w:hAnsi="sans-serif"/>
                <w:color w:val="000000"/>
                <w:sz w:val="20"/>
              </w:rPr>
              <w:t>Less: Accumulated depreciation</w:t>
            </w:r>
          </w:p>
        </w:tc>
        <w:tc>
          <w:tcPr>
            <w:tcW w:w="1816" w:type="dxa"/>
            <w:tcBorders>
              <w:bottom w:val="sing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45,517,173</w:t>
            </w:r>
          </w:p>
        </w:tc>
        <w:tc>
          <w:tcPr>
            <w:tcW w:w="148" w:type="dxa"/>
            <w:tcBorders>
              <w:bottom w:val="single" w:sz="4" w:space="0" w:color="000000"/>
            </w:tcBorders>
            <w:tcMar>
              <w:top w:w="0" w:type="dxa"/>
              <w:left w:w="0" w:type="dxa"/>
              <w:right w:w="0" w:type="dxa"/>
            </w:tcMar>
            <w:vAlign w:val="center"/>
          </w:tcPr>
          <w:p>
            <w:pPr>
              <w:pStyle w:val="TableContents"/>
              <w:bidi w:val="0"/>
              <w:spacing w:before="120" w:after="283"/>
              <w:jc w:val="right"/>
              <w:rPr/>
            </w:pPr>
            <w:r>
              <w:rPr/>
              <w:t> </w:t>
            </w:r>
          </w:p>
        </w:tc>
        <w:tc>
          <w:tcPr>
            <w:tcW w:w="2394" w:type="dxa"/>
            <w:tcBorders>
              <w:bottom w:val="single" w:sz="4" w:space="0" w:color="000000"/>
            </w:tcBorders>
            <w:tcMar>
              <w:top w:w="0" w:type="dxa"/>
              <w:left w:w="0" w:type="dxa"/>
              <w:right w:w="0" w:type="dxa"/>
            </w:tcMar>
            <w:vAlign w:val="center"/>
          </w:tcPr>
          <w:p>
            <w:pPr>
              <w:pStyle w:val="TableContents"/>
              <w:bidi w:val="0"/>
              <w:spacing w:before="120" w:after="283"/>
              <w:ind w:left="0" w:right="0" w:firstLine="83"/>
              <w:jc w:val="right"/>
              <w:rPr>
                <w:rFonts w:ascii="sans-serif" w:hAnsi="sans-serif"/>
                <w:color w:val="000000"/>
                <w:sz w:val="20"/>
              </w:rPr>
            </w:pPr>
            <w:r>
              <w:rPr>
                <w:rFonts w:ascii="sans-serif" w:hAnsi="sans-serif"/>
                <w:color w:val="000000"/>
                <w:sz w:val="20"/>
              </w:rPr>
              <w:t>44,887,315</w:t>
            </w:r>
          </w:p>
        </w:tc>
      </w:tr>
      <w:tr>
        <w:trPr/>
        <w:tc>
          <w:tcPr>
            <w:tcW w:w="3673" w:type="dxa"/>
            <w:tcBorders/>
            <w:tcMar>
              <w:top w:w="0" w:type="dxa"/>
              <w:left w:w="0" w:type="dxa"/>
              <w:bottom w:w="0" w:type="dxa"/>
              <w:right w:w="0" w:type="dxa"/>
            </w:tcMar>
            <w:vAlign w:val="center"/>
          </w:tcPr>
          <w:p>
            <w:pPr>
              <w:pStyle w:val="TableContents"/>
              <w:bidi w:val="0"/>
              <w:spacing w:before="120" w:after="283"/>
              <w:ind w:left="0" w:right="0" w:firstLine="83"/>
              <w:jc w:val="left"/>
              <w:rPr>
                <w:rFonts w:ascii="sans-serif" w:hAnsi="sans-serif"/>
                <w:color w:val="000000"/>
                <w:sz w:val="20"/>
              </w:rPr>
            </w:pPr>
            <w:r>
              <w:rPr>
                <w:rFonts w:ascii="sans-serif" w:hAnsi="sans-serif"/>
                <w:color w:val="000000"/>
                <w:sz w:val="20"/>
              </w:rPr>
              <w:t>Property and equipment—net</w:t>
            </w:r>
          </w:p>
        </w:tc>
        <w:tc>
          <w:tcPr>
            <w:tcW w:w="1816" w:type="dxa"/>
            <w:tcBorders>
              <w:bottom w:val="doub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$4,683,361</w:t>
            </w:r>
          </w:p>
        </w:tc>
        <w:tc>
          <w:tcPr>
            <w:tcW w:w="148" w:type="dxa"/>
            <w:tcBorders>
              <w:bottom w:val="double" w:sz="4" w:space="0" w:color="000000"/>
            </w:tcBorders>
            <w:tcMar>
              <w:top w:w="0" w:type="dxa"/>
              <w:left w:w="0" w:type="dxa"/>
              <w:right w:w="0" w:type="dxa"/>
            </w:tcMar>
            <w:vAlign w:val="center"/>
          </w:tcPr>
          <w:p>
            <w:pPr>
              <w:pStyle w:val="TableContents"/>
              <w:bidi w:val="0"/>
              <w:spacing w:before="120" w:after="283"/>
              <w:jc w:val="right"/>
              <w:rPr/>
            </w:pPr>
            <w:r>
              <w:rPr/>
              <w:t> </w:t>
            </w:r>
          </w:p>
        </w:tc>
        <w:tc>
          <w:tcPr>
            <w:tcW w:w="2394" w:type="dxa"/>
            <w:tcBorders>
              <w:bottom w:val="doub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$5,209,295</w:t>
            </w:r>
          </w:p>
        </w:tc>
      </w:tr>
    </w:tbl>
    <w:p>
      <w:pPr>
        <w:pStyle w:val="TextBody"/>
        <w:bidi w:val="0"/>
        <w:spacing w:before="120" w:after="283"/>
        <w:jc w:val="both"/>
        <w:rPr>
          <w:rFonts w:ascii="sans-serif" w:hAnsi="sans-serif"/>
          <w:color w:val="000000"/>
          <w:sz w:val="20"/>
        </w:rPr>
      </w:pPr>
      <w:r>
        <w:rPr>
          <w:rFonts w:ascii="sans-serif" w:hAnsi="sans-serif"/>
          <w:color w:val="000000"/>
          <w:sz w:val="20"/>
        </w:rPr>
        <w:t>Total depreciation expense for the three months ended March 31, 2026, and 2025, was $629,858 and $806,189, respectively.</w:t>
      </w:r>
    </w:p>
    <w:p>
      <w:pPr>
        <w:pStyle w:val="TextBody"/>
        <w:bidi w:val="0"/>
        <w:spacing w:before="120" w:after="283"/>
        <w:jc w:val="left"/>
        <w:rPr>
          <w:rFonts w:ascii="sans-serif" w:hAnsi="sans-serif"/>
          <w:b/>
          <w:color w:val="000000"/>
          <w:sz w:val="20"/>
        </w:rPr>
      </w:pPr>
      <w:r>
        <w:rPr>
          <w:rFonts w:ascii="sans-serif" w:hAnsi="sans-serif"/>
          <w:b/>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sans-serif" w:hAnsi="sans-serif"/>
          <w:b/>
          <w:color w:val="000000"/>
          <w:sz w:val="20"/>
        </w:rPr>
      </w:pPr>
      <w:bookmarkStart w:id="17" w:name="x__capitalized_software"/>
      <w:bookmarkEnd w:id="17"/>
      <w:r>
        <w:rPr>
          <w:rFonts w:ascii="sans-serif" w:hAnsi="sans-serif"/>
          <w:b/>
          <w:color w:val="000000"/>
          <w:sz w:val="20"/>
        </w:rPr>
        <w:t>CAPITALIZED SOFTWARE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sans-serif" w:hAnsi="sans-serif"/>
          <w:color w:val="000000"/>
          <w:sz w:val="20"/>
        </w:rPr>
      </w:pPr>
      <w:r>
        <w:rPr>
          <w:rFonts w:ascii="sans-serif" w:hAnsi="sans-serif"/>
          <w:color w:val="000000"/>
          <w:sz w:val="20"/>
        </w:rPr>
        <w:t>Capitalized software as of March 31, 2026 and December 31, 2025, consisted of the following:</w:t>
      </w:r>
    </w:p>
    <w:p>
      <w:pPr>
        <w:pStyle w:val="TextBody"/>
        <w:bidi w:val="0"/>
        <w:spacing w:before="120" w:after="1"/>
        <w:jc w:val="left"/>
        <w:rPr/>
      </w:pPr>
      <w:r>
        <w:rPr/>
        <w:t> </w:t>
      </w:r>
    </w:p>
    <w:tbl>
      <w:tblPr>
        <w:tblW w:w="8703" w:type="dxa"/>
        <w:jc w:val="left"/>
        <w:tblInd w:w="0" w:type="dxa"/>
        <w:tblLayout w:type="fixed"/>
        <w:tblCellMar>
          <w:top w:w="28" w:type="dxa"/>
          <w:left w:w="28" w:type="dxa"/>
          <w:bottom w:w="28" w:type="dxa"/>
          <w:right w:w="28" w:type="dxa"/>
        </w:tblCellMar>
      </w:tblPr>
      <w:tblGrid>
        <w:gridCol w:w="3819"/>
        <w:gridCol w:w="2377"/>
        <w:gridCol w:w="146"/>
        <w:gridCol w:w="2361"/>
      </w:tblGrid>
      <w:tr>
        <w:trPr/>
        <w:tc>
          <w:tcPr>
            <w:tcW w:w="3819"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3819" w:type="dxa"/>
            <w:tcBorders/>
            <w:tcMar>
              <w:top w:w="0" w:type="dxa"/>
              <w:left w:w="0" w:type="dxa"/>
              <w:bottom w:w="0" w:type="dxa"/>
              <w:right w:w="0" w:type="dxa"/>
            </w:tcMar>
            <w:vAlign w:val="center"/>
          </w:tcPr>
          <w:p>
            <w:pPr>
              <w:pStyle w:val="TableContents"/>
              <w:bidi w:val="0"/>
              <w:spacing w:before="120" w:after="283"/>
              <w:ind w:left="0" w:right="0" w:firstLine="561"/>
              <w:jc w:val="left"/>
              <w:rPr/>
            </w:pPr>
            <w:r>
              <w:rPr/>
              <w:t> </w:t>
            </w:r>
          </w:p>
        </w:tc>
        <w:tc>
          <w:tcPr>
            <w:tcW w:w="2377" w:type="dxa"/>
            <w:tcBorders/>
            <w:tcMar>
              <w:top w:w="0" w:type="dxa"/>
              <w:left w:w="0" w:type="dxa"/>
              <w:bottom w:w="0" w:type="dxa"/>
              <w:right w:w="0" w:type="dxa"/>
            </w:tcMar>
            <w:vAlign w:val="center"/>
          </w:tcPr>
          <w:p>
            <w:pPr>
              <w:pStyle w:val="TableContents"/>
              <w:bidi w:val="0"/>
              <w:spacing w:before="120" w:after="283"/>
              <w:ind w:left="0" w:right="0" w:firstLine="561"/>
              <w:jc w:val="center"/>
              <w:rPr>
                <w:rFonts w:ascii="sans-serif" w:hAnsi="sans-serif"/>
                <w:b/>
                <w:color w:val="000000"/>
                <w:sz w:val="20"/>
              </w:rPr>
            </w:pPr>
            <w:r>
              <w:rPr>
                <w:rFonts w:ascii="sans-serif" w:hAnsi="sans-serif"/>
                <w:b/>
                <w:color w:val="000000"/>
                <w:sz w:val="20"/>
              </w:rPr>
              <w:t>March 31, 2026</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2361" w:type="dxa"/>
            <w:tcBorders/>
            <w:tcMar>
              <w:top w:w="0" w:type="dxa"/>
              <w:left w:w="0" w:type="dxa"/>
              <w:bottom w:w="0" w:type="dxa"/>
              <w:right w:w="0" w:type="dxa"/>
            </w:tcMar>
            <w:vAlign w:val="center"/>
          </w:tcPr>
          <w:p>
            <w:pPr>
              <w:pStyle w:val="TableContents"/>
              <w:bidi w:val="0"/>
              <w:spacing w:before="120" w:after="283"/>
              <w:ind w:left="0" w:right="0" w:firstLine="50"/>
              <w:jc w:val="center"/>
              <w:rPr>
                <w:rFonts w:ascii="sans-serif" w:hAnsi="sans-serif"/>
                <w:b/>
                <w:color w:val="000000"/>
                <w:sz w:val="20"/>
              </w:rPr>
            </w:pPr>
            <w:r>
              <w:rPr>
                <w:rFonts w:ascii="sans-serif" w:hAnsi="sans-serif"/>
                <w:b/>
                <w:color w:val="000000"/>
                <w:sz w:val="20"/>
              </w:rPr>
              <w:t>December 31, 2025</w:t>
            </w:r>
          </w:p>
        </w:tc>
      </w:tr>
      <w:tr>
        <w:trPr/>
        <w:tc>
          <w:tcPr>
            <w:tcW w:w="3819" w:type="dxa"/>
            <w:tcBorders/>
            <w:tcMar>
              <w:top w:w="0" w:type="dxa"/>
              <w:left w:w="0" w:type="dxa"/>
              <w:bottom w:w="0" w:type="dxa"/>
              <w:right w:w="0" w:type="dxa"/>
            </w:tcMar>
            <w:vAlign w:val="center"/>
          </w:tcPr>
          <w:p>
            <w:pPr>
              <w:pStyle w:val="TableContents"/>
              <w:bidi w:val="0"/>
              <w:spacing w:before="120" w:after="283"/>
              <w:ind w:left="0" w:right="0" w:firstLine="583"/>
              <w:jc w:val="left"/>
              <w:rPr>
                <w:rFonts w:ascii="sans-serif" w:hAnsi="sans-serif"/>
                <w:color w:val="000000"/>
                <w:sz w:val="20"/>
              </w:rPr>
            </w:pPr>
            <w:r>
              <w:rPr>
                <w:rFonts w:ascii="sans-serif" w:hAnsi="sans-serif"/>
                <w:color w:val="000000"/>
                <w:sz w:val="20"/>
              </w:rPr>
              <w:t>Capitalized software</w:t>
            </w:r>
          </w:p>
        </w:tc>
        <w:tc>
          <w:tcPr>
            <w:tcW w:w="2377" w:type="dxa"/>
            <w:tcBorders/>
            <w:tcMar>
              <w:top w:w="0" w:type="dxa"/>
              <w:left w:w="0" w:type="dxa"/>
              <w:bottom w:w="0" w:type="dxa"/>
              <w:right w:w="0" w:type="dxa"/>
            </w:tcMar>
            <w:vAlign w:val="center"/>
          </w:tcPr>
          <w:p>
            <w:pPr>
              <w:pStyle w:val="TableContents"/>
              <w:bidi w:val="0"/>
              <w:spacing w:before="120" w:after="283"/>
              <w:ind w:left="0" w:right="0" w:firstLine="583"/>
              <w:jc w:val="right"/>
              <w:rPr>
                <w:rFonts w:ascii="sans-serif" w:hAnsi="sans-serif"/>
                <w:color w:val="000000"/>
                <w:sz w:val="20"/>
              </w:rPr>
            </w:pPr>
            <w:r>
              <w:rPr>
                <w:rFonts w:ascii="sans-serif" w:hAnsi="sans-serif"/>
                <w:color w:val="000000"/>
                <w:sz w:val="20"/>
              </w:rPr>
              <w:t>$48,487,812</w:t>
            </w:r>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20" w:after="283"/>
              <w:ind w:left="0" w:right="0" w:firstLine="50"/>
              <w:jc w:val="right"/>
              <w:rPr>
                <w:rFonts w:ascii="sans-serif" w:hAnsi="sans-serif"/>
                <w:color w:val="000000"/>
                <w:sz w:val="20"/>
              </w:rPr>
            </w:pPr>
            <w:r>
              <w:rPr>
                <w:rFonts w:ascii="sans-serif" w:hAnsi="sans-serif"/>
                <w:color w:val="000000"/>
                <w:sz w:val="20"/>
              </w:rPr>
              <w:t>$43,394,914</w:t>
            </w:r>
          </w:p>
        </w:tc>
      </w:tr>
      <w:tr>
        <w:trPr/>
        <w:tc>
          <w:tcPr>
            <w:tcW w:w="3819" w:type="dxa"/>
            <w:tcBorders/>
            <w:tcMar>
              <w:top w:w="0" w:type="dxa"/>
              <w:left w:w="0" w:type="dxa"/>
              <w:bottom w:w="0" w:type="dxa"/>
              <w:right w:w="0" w:type="dxa"/>
            </w:tcMar>
            <w:vAlign w:val="center"/>
          </w:tcPr>
          <w:p>
            <w:pPr>
              <w:pStyle w:val="TableContents"/>
              <w:bidi w:val="0"/>
              <w:spacing w:before="120" w:after="283"/>
              <w:ind w:left="0" w:right="0" w:firstLine="563"/>
              <w:jc w:val="left"/>
              <w:rPr>
                <w:rFonts w:ascii="sans-serif" w:hAnsi="sans-serif"/>
                <w:color w:val="000000"/>
                <w:sz w:val="20"/>
              </w:rPr>
            </w:pPr>
            <w:r>
              <w:rPr>
                <w:rFonts w:ascii="sans-serif" w:hAnsi="sans-serif"/>
                <w:color w:val="000000"/>
                <w:sz w:val="20"/>
              </w:rPr>
              <w:t>Less: Accumulated amortization</w:t>
            </w:r>
          </w:p>
        </w:tc>
        <w:tc>
          <w:tcPr>
            <w:tcW w:w="2377" w:type="dxa"/>
            <w:tcBorders>
              <w:bottom w:val="single" w:sz="4" w:space="0" w:color="000000"/>
            </w:tcBorders>
            <w:tcMar>
              <w:top w:w="0" w:type="dxa"/>
              <w:left w:w="0" w:type="dxa"/>
              <w:right w:w="0" w:type="dxa"/>
            </w:tcMar>
            <w:vAlign w:val="center"/>
          </w:tcPr>
          <w:p>
            <w:pPr>
              <w:pStyle w:val="TableContents"/>
              <w:bidi w:val="0"/>
              <w:spacing w:before="120" w:after="283"/>
              <w:ind w:left="0" w:right="0" w:firstLine="563"/>
              <w:jc w:val="right"/>
              <w:rPr>
                <w:rFonts w:ascii="sans-serif" w:hAnsi="sans-serif"/>
                <w:color w:val="000000"/>
                <w:sz w:val="20"/>
              </w:rPr>
            </w:pPr>
            <w:r>
              <w:rPr>
                <w:rFonts w:ascii="sans-serif" w:hAnsi="sans-serif"/>
                <w:color w:val="000000"/>
                <w:sz w:val="20"/>
              </w:rPr>
              <w:t>(15,407,894)</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right"/>
              <w:rPr/>
            </w:pPr>
            <w:r>
              <w:rPr/>
              <w:t> </w:t>
            </w:r>
          </w:p>
        </w:tc>
        <w:tc>
          <w:tcPr>
            <w:tcW w:w="2361" w:type="dxa"/>
            <w:tcBorders>
              <w:bottom w:val="sing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(13,530,482)</w:t>
            </w:r>
          </w:p>
        </w:tc>
      </w:tr>
      <w:tr>
        <w:trPr/>
        <w:tc>
          <w:tcPr>
            <w:tcW w:w="3819" w:type="dxa"/>
            <w:tcBorders/>
            <w:tcMar>
              <w:top w:w="0" w:type="dxa"/>
              <w:left w:w="0" w:type="dxa"/>
              <w:bottom w:w="0" w:type="dxa"/>
              <w:right w:w="0" w:type="dxa"/>
            </w:tcMar>
            <w:vAlign w:val="center"/>
          </w:tcPr>
          <w:p>
            <w:pPr>
              <w:pStyle w:val="TableContents"/>
              <w:bidi w:val="0"/>
              <w:spacing w:before="120" w:after="283"/>
              <w:ind w:left="0" w:right="0" w:firstLine="583"/>
              <w:jc w:val="left"/>
              <w:rPr/>
            </w:pPr>
            <w:r>
              <w:rPr/>
              <w:t> </w:t>
            </w:r>
          </w:p>
        </w:tc>
        <w:tc>
          <w:tcPr>
            <w:tcW w:w="2377" w:type="dxa"/>
            <w:tcBorders>
              <w:bottom w:val="double" w:sz="4" w:space="0" w:color="000000"/>
            </w:tcBorders>
            <w:tcMar>
              <w:top w:w="0" w:type="dxa"/>
              <w:left w:w="0" w:type="dxa"/>
              <w:right w:w="0" w:type="dxa"/>
            </w:tcMar>
            <w:vAlign w:val="center"/>
          </w:tcPr>
          <w:p>
            <w:pPr>
              <w:pStyle w:val="TableContents"/>
              <w:bidi w:val="0"/>
              <w:spacing w:before="120" w:after="283"/>
              <w:ind w:left="0" w:right="0" w:firstLine="583"/>
              <w:jc w:val="right"/>
              <w:rPr>
                <w:rFonts w:ascii="sans-serif" w:hAnsi="sans-serif"/>
                <w:color w:val="000000"/>
                <w:sz w:val="20"/>
              </w:rPr>
            </w:pPr>
            <w:r>
              <w:rPr>
                <w:rFonts w:ascii="sans-serif" w:hAnsi="sans-serif"/>
                <w:color w:val="000000"/>
                <w:sz w:val="20"/>
              </w:rPr>
              <w:t>$33,079,918</w:t>
            </w:r>
          </w:p>
        </w:tc>
        <w:tc>
          <w:tcPr>
            <w:tcW w:w="146" w:type="dxa"/>
            <w:tcBorders>
              <w:bottom w:val="double" w:sz="4" w:space="0" w:color="000000"/>
            </w:tcBorders>
            <w:tcMar>
              <w:top w:w="0" w:type="dxa"/>
              <w:left w:w="0" w:type="dxa"/>
              <w:right w:w="0" w:type="dxa"/>
            </w:tcMar>
            <w:vAlign w:val="center"/>
          </w:tcPr>
          <w:p>
            <w:pPr>
              <w:pStyle w:val="TableContents"/>
              <w:bidi w:val="0"/>
              <w:spacing w:before="120" w:after="283"/>
              <w:jc w:val="right"/>
              <w:rPr/>
            </w:pPr>
            <w:r>
              <w:rPr/>
              <w:t> </w:t>
            </w:r>
          </w:p>
        </w:tc>
        <w:tc>
          <w:tcPr>
            <w:tcW w:w="2361" w:type="dxa"/>
            <w:tcBorders>
              <w:bottom w:val="doub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$29,864,432</w:t>
            </w:r>
          </w:p>
        </w:tc>
      </w:tr>
    </w:tbl>
    <w:p>
      <w:pPr>
        <w:pStyle w:val="TextBody"/>
        <w:bidi w:val="0"/>
        <w:spacing w:before="120" w:after="283"/>
        <w:jc w:val="both"/>
        <w:rPr>
          <w:rFonts w:ascii="sans-serif" w:hAnsi="sans-serif"/>
          <w:color w:val="000000"/>
          <w:sz w:val="20"/>
        </w:rPr>
      </w:pPr>
      <w:r>
        <w:rPr>
          <w:rFonts w:ascii="sans-serif" w:hAnsi="sans-serif"/>
          <w:color w:val="000000"/>
          <w:sz w:val="20"/>
        </w:rPr>
        <w:t>Total amortization expense for the three months ended March 31, 2026, and 2025, was $1,877,412 and $1,257,343, respectively.</w:t>
      </w:r>
    </w:p>
    <w:p>
      <w:pPr>
        <w:pStyle w:val="TextBody"/>
        <w:bidi w:val="0"/>
        <w:spacing w:before="120" w:after="283"/>
        <w:jc w:val="left"/>
        <w:rPr>
          <w:rFonts w:ascii="sans-serif" w:hAnsi="sans-serif"/>
          <w:b/>
          <w:color w:val="000000"/>
          <w:sz w:val="20"/>
        </w:rPr>
      </w:pPr>
      <w:r>
        <w:rPr>
          <w:rFonts w:ascii="sans-serif" w:hAnsi="sans-serif"/>
          <w:b/>
          <w:color w:val="000000"/>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sans-serif" w:hAnsi="sans-serif"/>
          <w:b/>
          <w:color w:val="000000"/>
          <w:sz w:val="20"/>
        </w:rPr>
      </w:pPr>
      <w:bookmarkStart w:id="18" w:name="x__intangibles"/>
      <w:bookmarkEnd w:id="18"/>
      <w:r>
        <w:rPr>
          <w:rFonts w:ascii="sans-serif" w:hAnsi="sans-serif"/>
          <w:b/>
          <w:color w:val="000000"/>
          <w:sz w:val="20"/>
        </w:rPr>
        <w:t>INTANGIBLES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sans-serif" w:hAnsi="sans-serif"/>
          <w:color w:val="000000"/>
          <w:sz w:val="20"/>
        </w:rPr>
      </w:pPr>
      <w:r>
        <w:rPr>
          <w:rFonts w:ascii="sans-serif" w:hAnsi="sans-serif"/>
          <w:color w:val="000000"/>
          <w:sz w:val="20"/>
        </w:rPr>
        <w:t>Intangibles as of March 31, 2026 and December 31, 2025, consisted of the following:</w:t>
      </w:r>
    </w:p>
    <w:p>
      <w:pPr>
        <w:pStyle w:val="TextBody"/>
        <w:bidi w:val="0"/>
        <w:spacing w:before="120" w:after="283"/>
        <w:jc w:val="left"/>
        <w:rPr/>
      </w:pPr>
      <w:r>
        <w:rPr/>
        <w:t> </w:t>
      </w:r>
    </w:p>
    <w:tbl>
      <w:tblPr>
        <w:tblW w:w="7557" w:type="dxa"/>
        <w:jc w:val="left"/>
        <w:tblInd w:w="0" w:type="dxa"/>
        <w:tblLayout w:type="fixed"/>
        <w:tblCellMar>
          <w:top w:w="28" w:type="dxa"/>
          <w:left w:w="28" w:type="dxa"/>
          <w:bottom w:w="28" w:type="dxa"/>
          <w:right w:w="28" w:type="dxa"/>
        </w:tblCellMar>
      </w:tblPr>
      <w:tblGrid>
        <w:gridCol w:w="3231"/>
        <w:gridCol w:w="1819"/>
        <w:gridCol w:w="146"/>
        <w:gridCol w:w="2361"/>
      </w:tblGrid>
      <w:tr>
        <w:trPr/>
        <w:tc>
          <w:tcPr>
            <w:tcW w:w="323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3231" w:type="dxa"/>
            <w:tcBorders/>
            <w:tcMar>
              <w:top w:w="0" w:type="dxa"/>
              <w:left w:w="0" w:type="dxa"/>
              <w:bottom w:w="0" w:type="dxa"/>
              <w:right w:w="0" w:type="dxa"/>
            </w:tcMar>
            <w:vAlign w:val="center"/>
          </w:tcPr>
          <w:p>
            <w:pPr>
              <w:pStyle w:val="TableContents"/>
              <w:bidi w:val="0"/>
              <w:spacing w:before="120" w:after="283"/>
              <w:ind w:left="0" w:right="0" w:firstLine="3"/>
              <w:jc w:val="left"/>
              <w:rPr/>
            </w:pPr>
            <w:r>
              <w:rPr/>
              <w:t> </w:t>
            </w:r>
          </w:p>
        </w:tc>
        <w:tc>
          <w:tcPr>
            <w:tcW w:w="1819" w:type="dxa"/>
            <w:tcBorders/>
            <w:tcMar>
              <w:top w:w="0" w:type="dxa"/>
              <w:left w:w="0" w:type="dxa"/>
              <w:bottom w:w="0" w:type="dxa"/>
              <w:right w:w="0" w:type="dxa"/>
            </w:tcMar>
            <w:vAlign w:val="center"/>
          </w:tcPr>
          <w:p>
            <w:pPr>
              <w:pStyle w:val="TableContents"/>
              <w:bidi w:val="0"/>
              <w:spacing w:before="120" w:after="283"/>
              <w:ind w:left="0" w:right="0" w:firstLine="3"/>
              <w:jc w:val="center"/>
              <w:rPr>
                <w:rFonts w:ascii="sans-serif" w:hAnsi="sans-serif"/>
                <w:b/>
                <w:color w:val="000000"/>
                <w:sz w:val="20"/>
              </w:rPr>
            </w:pPr>
            <w:r>
              <w:rPr>
                <w:rFonts w:ascii="sans-serif" w:hAnsi="sans-serif"/>
                <w:b/>
                <w:color w:val="000000"/>
                <w:sz w:val="20"/>
              </w:rPr>
              <w:t>March 31, 2026</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120" w:after="283"/>
              <w:ind w:left="0" w:right="0" w:firstLine="50"/>
              <w:jc w:val="center"/>
              <w:rPr>
                <w:rFonts w:ascii="sans-serif" w:hAnsi="sans-serif"/>
                <w:b/>
                <w:color w:val="000000"/>
                <w:sz w:val="20"/>
              </w:rPr>
            </w:pPr>
            <w:r>
              <w:rPr>
                <w:rFonts w:ascii="sans-serif" w:hAnsi="sans-serif"/>
                <w:b/>
                <w:color w:val="000000"/>
                <w:sz w:val="20"/>
              </w:rPr>
              <w:t>December 31, 2025</w:t>
            </w:r>
          </w:p>
        </w:tc>
      </w:tr>
      <w:tr>
        <w:trPr/>
        <w:tc>
          <w:tcPr>
            <w:tcW w:w="3231" w:type="dxa"/>
            <w:tcBorders/>
            <w:tcMar>
              <w:top w:w="0" w:type="dxa"/>
              <w:left w:w="0" w:type="dxa"/>
              <w:bottom w:w="0" w:type="dxa"/>
              <w:right w:w="0" w:type="dxa"/>
            </w:tcMar>
            <w:vAlign w:val="center"/>
          </w:tcPr>
          <w:p>
            <w:pPr>
              <w:pStyle w:val="TableContents"/>
              <w:bidi w:val="0"/>
              <w:spacing w:before="120" w:after="283"/>
              <w:ind w:left="0" w:right="0" w:firstLine="50"/>
              <w:jc w:val="left"/>
              <w:rPr>
                <w:rFonts w:ascii="sans-serif" w:hAnsi="sans-serif"/>
                <w:color w:val="000000"/>
                <w:sz w:val="20"/>
              </w:rPr>
            </w:pPr>
            <w:r>
              <w:rPr>
                <w:rFonts w:ascii="sans-serif" w:hAnsi="sans-serif"/>
                <w:color w:val="000000"/>
                <w:sz w:val="20"/>
              </w:rPr>
              <w:t>Trade names</w:t>
            </w:r>
          </w:p>
        </w:tc>
        <w:tc>
          <w:tcPr>
            <w:tcW w:w="1819"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$26,130,000</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120" w:after="283"/>
              <w:ind w:left="0" w:right="0" w:firstLine="50"/>
              <w:jc w:val="right"/>
              <w:rPr>
                <w:rFonts w:ascii="sans-serif" w:hAnsi="sans-serif"/>
                <w:color w:val="000000"/>
                <w:sz w:val="20"/>
              </w:rPr>
            </w:pPr>
            <w:r>
              <w:rPr>
                <w:rFonts w:ascii="sans-serif" w:hAnsi="sans-serif"/>
                <w:color w:val="000000"/>
                <w:sz w:val="20"/>
              </w:rPr>
              <w:t>$26,130,000</w:t>
            </w:r>
          </w:p>
        </w:tc>
      </w:tr>
      <w:tr>
        <w:trPr/>
        <w:tc>
          <w:tcPr>
            <w:tcW w:w="3231" w:type="dxa"/>
            <w:tcBorders/>
            <w:tcMar>
              <w:top w:w="0" w:type="dxa"/>
              <w:left w:w="0" w:type="dxa"/>
              <w:bottom w:w="0" w:type="dxa"/>
              <w:right w:w="0" w:type="dxa"/>
            </w:tcMar>
            <w:vAlign w:val="center"/>
          </w:tcPr>
          <w:p>
            <w:pPr>
              <w:pStyle w:val="TableContents"/>
              <w:bidi w:val="0"/>
              <w:spacing w:before="120" w:after="283"/>
              <w:ind w:left="0" w:right="0" w:firstLine="50"/>
              <w:jc w:val="left"/>
              <w:rPr>
                <w:rFonts w:ascii="sans-serif" w:hAnsi="sans-serif"/>
                <w:color w:val="000000"/>
                <w:sz w:val="20"/>
              </w:rPr>
            </w:pPr>
            <w:r>
              <w:rPr>
                <w:rFonts w:ascii="sans-serif" w:hAnsi="sans-serif"/>
                <w:color w:val="000000"/>
                <w:sz w:val="20"/>
              </w:rPr>
              <w:t>Customer lists</w:t>
            </w:r>
          </w:p>
        </w:tc>
        <w:tc>
          <w:tcPr>
            <w:tcW w:w="1819"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245,000,000</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120" w:after="283"/>
              <w:ind w:left="0" w:right="0" w:firstLine="50"/>
              <w:jc w:val="right"/>
              <w:rPr>
                <w:rFonts w:ascii="sans-serif" w:hAnsi="sans-serif"/>
                <w:color w:val="000000"/>
                <w:sz w:val="20"/>
              </w:rPr>
            </w:pPr>
            <w:r>
              <w:rPr>
                <w:rFonts w:ascii="sans-serif" w:hAnsi="sans-serif"/>
                <w:color w:val="000000"/>
                <w:sz w:val="20"/>
              </w:rPr>
              <w:t>245,000,000</w:t>
            </w:r>
          </w:p>
        </w:tc>
      </w:tr>
      <w:tr>
        <w:trPr/>
        <w:tc>
          <w:tcPr>
            <w:tcW w:w="3231" w:type="dxa"/>
            <w:tcBorders/>
            <w:tcMar>
              <w:top w:w="0" w:type="dxa"/>
              <w:left w:w="0" w:type="dxa"/>
              <w:bottom w:w="0" w:type="dxa"/>
              <w:right w:w="0" w:type="dxa"/>
            </w:tcMar>
            <w:vAlign w:val="center"/>
          </w:tcPr>
          <w:p>
            <w:pPr>
              <w:pStyle w:val="TableContents"/>
              <w:bidi w:val="0"/>
              <w:spacing w:before="120" w:after="283"/>
              <w:ind w:left="0" w:right="0" w:firstLine="50"/>
              <w:jc w:val="left"/>
              <w:rPr>
                <w:rFonts w:ascii="sans-serif" w:hAnsi="sans-serif"/>
                <w:color w:val="000000"/>
                <w:sz w:val="20"/>
              </w:rPr>
            </w:pPr>
            <w:r>
              <w:rPr>
                <w:rFonts w:ascii="sans-serif" w:hAnsi="sans-serif"/>
                <w:color w:val="000000"/>
                <w:sz w:val="20"/>
              </w:rPr>
              <w:t>Database/Tech</w:t>
            </w:r>
          </w:p>
        </w:tc>
        <w:tc>
          <w:tcPr>
            <w:tcW w:w="1819"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24,750,726</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361" w:type="dxa"/>
            <w:tcBorders/>
            <w:tcMar>
              <w:top w:w="0" w:type="dxa"/>
              <w:left w:w="0" w:type="dxa"/>
              <w:bottom w:w="0" w:type="dxa"/>
              <w:right w:w="0" w:type="dxa"/>
            </w:tcMar>
            <w:vAlign w:val="center"/>
          </w:tcPr>
          <w:p>
            <w:pPr>
              <w:pStyle w:val="TableContents"/>
              <w:bidi w:val="0"/>
              <w:spacing w:before="120" w:after="283"/>
              <w:ind w:left="0" w:right="0" w:firstLine="50"/>
              <w:jc w:val="right"/>
              <w:rPr>
                <w:rFonts w:ascii="sans-serif" w:hAnsi="sans-serif"/>
                <w:color w:val="000000"/>
                <w:sz w:val="20"/>
              </w:rPr>
            </w:pPr>
            <w:r>
              <w:rPr>
                <w:rFonts w:ascii="sans-serif" w:hAnsi="sans-serif"/>
                <w:color w:val="000000"/>
                <w:sz w:val="20"/>
              </w:rPr>
              <w:t>24,750,726</w:t>
            </w:r>
          </w:p>
        </w:tc>
      </w:tr>
      <w:tr>
        <w:trPr/>
        <w:tc>
          <w:tcPr>
            <w:tcW w:w="3231" w:type="dxa"/>
            <w:tcBorders/>
            <w:tcMar>
              <w:top w:w="0" w:type="dxa"/>
              <w:left w:w="0" w:type="dxa"/>
              <w:bottom w:w="0" w:type="dxa"/>
              <w:right w:w="0" w:type="dxa"/>
            </w:tcMar>
            <w:vAlign w:val="center"/>
          </w:tcPr>
          <w:p>
            <w:pPr>
              <w:pStyle w:val="TableContents"/>
              <w:bidi w:val="0"/>
              <w:spacing w:before="120" w:after="283"/>
              <w:ind w:left="0" w:right="0" w:firstLine="50"/>
              <w:jc w:val="left"/>
              <w:rPr>
                <w:rFonts w:ascii="sans-serif" w:hAnsi="sans-serif"/>
                <w:color w:val="000000"/>
                <w:sz w:val="20"/>
              </w:rPr>
            </w:pPr>
            <w:r>
              <w:rPr>
                <w:rFonts w:ascii="sans-serif" w:hAnsi="sans-serif"/>
                <w:color w:val="000000"/>
                <w:sz w:val="20"/>
              </w:rPr>
              <w:t>Subtotal</w:t>
            </w:r>
          </w:p>
        </w:tc>
        <w:tc>
          <w:tcPr>
            <w:tcW w:w="1819" w:type="dxa"/>
            <w:tcBorders>
              <w:bottom w:val="sing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295,880,726</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2361" w:type="dxa"/>
            <w:tcBorders>
              <w:bottom w:val="single" w:sz="4" w:space="0" w:color="000000"/>
            </w:tcBorders>
            <w:tcMar>
              <w:top w:w="0" w:type="dxa"/>
              <w:left w:w="0" w:type="dxa"/>
              <w:right w:w="0" w:type="dxa"/>
            </w:tcMar>
            <w:vAlign w:val="center"/>
          </w:tcPr>
          <w:p>
            <w:pPr>
              <w:pStyle w:val="TableContents"/>
              <w:bidi w:val="0"/>
              <w:spacing w:before="120" w:after="283"/>
              <w:ind w:left="0" w:right="0" w:firstLine="50"/>
              <w:jc w:val="right"/>
              <w:rPr>
                <w:rFonts w:ascii="sans-serif" w:hAnsi="sans-serif"/>
                <w:color w:val="000000"/>
                <w:sz w:val="20"/>
              </w:rPr>
            </w:pPr>
            <w:r>
              <w:rPr>
                <w:rFonts w:ascii="sans-serif" w:hAnsi="sans-serif"/>
                <w:color w:val="000000"/>
                <w:sz w:val="20"/>
              </w:rPr>
              <w:t>295,880,726</w:t>
            </w:r>
          </w:p>
        </w:tc>
      </w:tr>
      <w:tr>
        <w:trPr/>
        <w:tc>
          <w:tcPr>
            <w:tcW w:w="3231" w:type="dxa"/>
            <w:tcBorders/>
            <w:tcMar>
              <w:top w:w="0" w:type="dxa"/>
              <w:left w:w="0" w:type="dxa"/>
              <w:bottom w:w="0" w:type="dxa"/>
              <w:right w:w="0" w:type="dxa"/>
            </w:tcMar>
            <w:vAlign w:val="center"/>
          </w:tcPr>
          <w:p>
            <w:pPr>
              <w:pStyle w:val="TableContents"/>
              <w:bidi w:val="0"/>
              <w:spacing w:before="120" w:after="283"/>
              <w:ind w:left="0" w:right="0" w:firstLine="50"/>
              <w:jc w:val="left"/>
              <w:rPr>
                <w:rFonts w:ascii="sans-serif" w:hAnsi="sans-serif"/>
                <w:color w:val="000000"/>
                <w:sz w:val="20"/>
              </w:rPr>
            </w:pPr>
            <w:r>
              <w:rPr>
                <w:rFonts w:ascii="sans-serif" w:hAnsi="sans-serif"/>
                <w:color w:val="000000"/>
                <w:sz w:val="20"/>
              </w:rPr>
              <w:t>Less accumulated amortization</w:t>
            </w:r>
          </w:p>
        </w:tc>
        <w:tc>
          <w:tcPr>
            <w:tcW w:w="1819" w:type="dxa"/>
            <w:tcBorders>
              <w:bottom w:val="sing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(187,067,269)</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2361" w:type="dxa"/>
            <w:tcBorders>
              <w:bottom w:val="sing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(183,511,500)</w:t>
            </w:r>
          </w:p>
        </w:tc>
      </w:tr>
      <w:tr>
        <w:trPr/>
        <w:tc>
          <w:tcPr>
            <w:tcW w:w="323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819" w:type="dxa"/>
            <w:tcBorders>
              <w:bottom w:val="doub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$108,813,457</w:t>
            </w:r>
          </w:p>
        </w:tc>
        <w:tc>
          <w:tcPr>
            <w:tcW w:w="146" w:type="dxa"/>
            <w:tcBorders>
              <w:bottom w:val="double" w:sz="4" w:space="0" w:color="000000"/>
            </w:tcBorders>
            <w:tcMar>
              <w:top w:w="0" w:type="dxa"/>
              <w:left w:w="0" w:type="dxa"/>
              <w:right w:w="0" w:type="dxa"/>
            </w:tcMar>
            <w:vAlign w:val="center"/>
          </w:tcPr>
          <w:p>
            <w:pPr>
              <w:pStyle w:val="TableContents"/>
              <w:bidi w:val="0"/>
              <w:spacing w:before="120" w:after="283"/>
              <w:jc w:val="left"/>
              <w:rPr/>
            </w:pPr>
            <w:r>
              <w:rPr/>
              <w:t> </w:t>
            </w:r>
          </w:p>
        </w:tc>
        <w:tc>
          <w:tcPr>
            <w:tcW w:w="2361" w:type="dxa"/>
            <w:tcBorders>
              <w:bottom w:val="doub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$112,369,226</w:t>
            </w:r>
          </w:p>
        </w:tc>
      </w:tr>
    </w:tbl>
    <w:p>
      <w:pPr>
        <w:pStyle w:val="TextBody"/>
        <w:bidi w:val="0"/>
        <w:spacing w:before="120" w:after="283"/>
        <w:jc w:val="both"/>
        <w:rPr>
          <w:rFonts w:ascii="sans-serif" w:hAnsi="sans-serif"/>
          <w:color w:val="000000"/>
          <w:sz w:val="20"/>
        </w:rPr>
      </w:pPr>
      <w:r>
        <w:rPr>
          <w:rFonts w:ascii="sans-serif" w:hAnsi="sans-serif"/>
          <w:color w:val="000000"/>
          <w:sz w:val="20"/>
        </w:rPr>
        <w:t>Total amortization expense for intangibles for the three months ended March 31, 2026 and 2025, was $3,555,769 and $3,555,769, respectively. There have been no material changes to the expected future amortization schedule disclosed in Note 5 to the Company's audited combined and consolidated financial statements as of and for the year ended December 31, 2025.</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sans-serif" w:hAnsi="sans-serif"/>
          <w:b/>
          <w:color w:val="000000"/>
          <w:sz w:val="20"/>
        </w:rPr>
      </w:pPr>
      <w:r>
        <w:rPr>
          <w:rFonts w:ascii="sans-serif" w:hAnsi="sans-serif"/>
          <w:b/>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sans-serif" w:hAnsi="sans-serif"/>
          <w:b/>
          <w:color w:val="000000"/>
          <w:sz w:val="20"/>
        </w:rPr>
      </w:pPr>
      <w:bookmarkStart w:id="19" w:name="x__leases"/>
      <w:bookmarkEnd w:id="19"/>
      <w:r>
        <w:rPr>
          <w:rFonts w:ascii="sans-serif" w:hAnsi="sans-serif"/>
          <w:b/>
          <w:color w:val="000000"/>
          <w:sz w:val="20"/>
        </w:rPr>
        <w:t>LEASES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sans-serif" w:hAnsi="sans-serif"/>
          <w:color w:val="000000"/>
          <w:sz w:val="20"/>
        </w:rPr>
      </w:pPr>
      <w:r>
        <w:rPr>
          <w:rFonts w:ascii="sans-serif" w:hAnsi="sans-serif"/>
          <w:color w:val="000000"/>
          <w:sz w:val="20"/>
        </w:rPr>
        <w:t>The Company leases certain real estate and equipment under various third-party operating and finance lease agreements. The leases are non-cancelable and expire on various terms through 2030. The Company does not have any leases that impose restrictions or covenants. The Company maintains security deposits totaling $80 and $80 as of March 31, 2026, and December 31, 2025, respectively, in conjunction with its current leases.</w:t>
      </w:r>
    </w:p>
    <w:p>
      <w:pPr>
        <w:pStyle w:val="TextBody"/>
        <w:bidi w:val="0"/>
        <w:spacing w:before="120" w:after="283"/>
        <w:jc w:val="both"/>
        <w:rPr>
          <w:rFonts w:ascii="sans-serif" w:hAnsi="sans-serif"/>
          <w:color w:val="000000"/>
          <w:sz w:val="20"/>
        </w:rPr>
      </w:pPr>
      <w:r>
        <w:rPr>
          <w:rFonts w:ascii="sans-serif" w:hAnsi="sans-serif"/>
          <w:color w:val="000000"/>
          <w:sz w:val="20"/>
        </w:rPr>
        <w:t>Total lease cost for the three months ended March 31, 2026 and 2025 was $1,397,032 and $1,321,039, respectively, primarily consisting of operating lease cost, finance lease amortization and interest expense, and short-term lease cost. There have been no material changes to the Company's lease cost components, supplemental cash flow disclosures, or right-of-use assets obtained in exchange for lease liabilities from those disclosed in Note 6 to the Company's audited combined and consolidated financial statements as of and for the year ended December 31, 2025.</w:t>
      </w:r>
    </w:p>
    <w:p>
      <w:pPr>
        <w:pStyle w:val="TextBody"/>
        <w:bidi w:val="0"/>
        <w:spacing w:before="120" w:after="283"/>
        <w:jc w:val="left"/>
        <w:rPr>
          <w:rFonts w:ascii="sans-serif" w:hAnsi="sans-serif"/>
          <w:color w:val="000000"/>
          <w:sz w:val="20"/>
        </w:rPr>
      </w:pPr>
      <w:r>
        <w:rPr>
          <w:rFonts w:ascii="sans-serif" w:hAnsi="sans-serif"/>
          <w:color w:val="000000"/>
          <w:sz w:val="20"/>
        </w:rPr>
        <w:t>The following table includes the weighted-average lease terms and discount rates for operating and finance leases as of December 31, 2025, and 2024, are as follows:</w:t>
      </w:r>
    </w:p>
    <w:p>
      <w:pPr>
        <w:pStyle w:val="TextBody"/>
        <w:bidi w:val="0"/>
        <w:spacing w:before="120" w:after="283"/>
        <w:jc w:val="left"/>
        <w:rPr/>
      </w:pPr>
      <w:r>
        <w:rPr/>
        <w:t> </w:t>
      </w:r>
    </w:p>
    <w:tbl>
      <w:tblPr>
        <w:tblW w:w="8995" w:type="dxa"/>
        <w:jc w:val="left"/>
        <w:tblInd w:w="0" w:type="dxa"/>
        <w:tblLayout w:type="fixed"/>
        <w:tblCellMar>
          <w:top w:w="28" w:type="dxa"/>
          <w:left w:w="28" w:type="dxa"/>
          <w:bottom w:w="28" w:type="dxa"/>
          <w:right w:w="28" w:type="dxa"/>
        </w:tblCellMar>
      </w:tblPr>
      <w:tblGrid>
        <w:gridCol w:w="4430"/>
        <w:gridCol w:w="2105"/>
        <w:gridCol w:w="2460"/>
      </w:tblGrid>
      <w:tr>
        <w:trPr/>
        <w:tc>
          <w:tcPr>
            <w:tcW w:w="4430"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430" w:type="dxa"/>
            <w:tcBorders/>
            <w:tcMar>
              <w:top w:w="0" w:type="dxa"/>
              <w:left w:w="0" w:type="dxa"/>
              <w:bottom w:w="0" w:type="dxa"/>
              <w:right w:w="0" w:type="dxa"/>
            </w:tcMar>
            <w:vAlign w:val="center"/>
          </w:tcPr>
          <w:p>
            <w:pPr>
              <w:pStyle w:val="TableContents"/>
              <w:bidi w:val="0"/>
              <w:spacing w:before="120" w:after="283"/>
              <w:ind w:left="0" w:right="0" w:firstLine="289"/>
              <w:jc w:val="left"/>
              <w:rPr>
                <w:rFonts w:ascii="sans-serif" w:hAnsi="sans-serif"/>
                <w:color w:val="000000"/>
                <w:sz w:val="20"/>
              </w:rPr>
            </w:pPr>
            <w:r>
              <w:rPr>
                <w:rFonts w:ascii="sans-serif" w:hAnsi="sans-serif"/>
                <w:color w:val="000000"/>
                <w:sz w:val="20"/>
              </w:rPr>
              <w:t>Weighted-average remaining lease term:</w:t>
            </w:r>
          </w:p>
        </w:tc>
        <w:tc>
          <w:tcPr>
            <w:tcW w:w="2105" w:type="dxa"/>
            <w:tcBorders/>
            <w:tcMar>
              <w:top w:w="0" w:type="dxa"/>
              <w:left w:w="0" w:type="dxa"/>
              <w:bottom w:w="0" w:type="dxa"/>
              <w:right w:w="0" w:type="dxa"/>
            </w:tcMar>
            <w:vAlign w:val="center"/>
          </w:tcPr>
          <w:p>
            <w:pPr>
              <w:pStyle w:val="TableContents"/>
              <w:bidi w:val="0"/>
              <w:spacing w:before="120" w:after="283"/>
              <w:ind w:left="0" w:right="0" w:firstLine="289"/>
              <w:jc w:val="center"/>
              <w:rPr>
                <w:rFonts w:ascii="sans-serif" w:hAnsi="sans-serif"/>
                <w:b/>
                <w:color w:val="000000"/>
                <w:sz w:val="20"/>
              </w:rPr>
            </w:pPr>
            <w:r>
              <w:rPr>
                <w:rFonts w:ascii="sans-serif" w:hAnsi="sans-serif"/>
                <w:b/>
                <w:color w:val="000000"/>
                <w:sz w:val="20"/>
              </w:rPr>
              <w:t>March 31, 2025</w:t>
            </w:r>
          </w:p>
        </w:tc>
        <w:tc>
          <w:tcPr>
            <w:tcW w:w="2460" w:type="dxa"/>
            <w:tcBorders/>
            <w:tcMar>
              <w:top w:w="0" w:type="dxa"/>
              <w:left w:w="0" w:type="dxa"/>
              <w:bottom w:w="0" w:type="dxa"/>
              <w:right w:w="0" w:type="dxa"/>
            </w:tcMar>
            <w:vAlign w:val="center"/>
          </w:tcPr>
          <w:p>
            <w:pPr>
              <w:pStyle w:val="TableContents"/>
              <w:bidi w:val="0"/>
              <w:spacing w:before="120" w:after="283"/>
              <w:ind w:left="0" w:right="0" w:firstLine="149"/>
              <w:jc w:val="center"/>
              <w:rPr>
                <w:rFonts w:ascii="sans-serif" w:hAnsi="sans-serif"/>
                <w:b/>
                <w:color w:val="000000"/>
                <w:sz w:val="20"/>
              </w:rPr>
            </w:pPr>
            <w:r>
              <w:rPr>
                <w:rFonts w:ascii="sans-serif" w:hAnsi="sans-serif"/>
                <w:b/>
                <w:color w:val="000000"/>
                <w:sz w:val="20"/>
              </w:rPr>
              <w:t>December 31, 2025</w:t>
            </w:r>
          </w:p>
        </w:tc>
      </w:tr>
      <w:tr>
        <w:trPr/>
        <w:tc>
          <w:tcPr>
            <w:tcW w:w="4430" w:type="dxa"/>
            <w:tcBorders/>
            <w:tcMar>
              <w:top w:w="0" w:type="dxa"/>
              <w:left w:w="0" w:type="dxa"/>
              <w:bottom w:w="0" w:type="dxa"/>
              <w:right w:w="0" w:type="dxa"/>
            </w:tcMar>
            <w:vAlign w:val="center"/>
          </w:tcPr>
          <w:p>
            <w:pPr>
              <w:pStyle w:val="TableContents"/>
              <w:bidi w:val="0"/>
              <w:spacing w:before="120" w:after="283"/>
              <w:ind w:left="0" w:right="0" w:firstLine="149"/>
              <w:jc w:val="left"/>
              <w:rPr>
                <w:rFonts w:ascii="sans-serif" w:hAnsi="sans-serif"/>
                <w:color w:val="000000"/>
                <w:sz w:val="20"/>
              </w:rPr>
            </w:pPr>
            <w:r>
              <w:rPr>
                <w:rFonts w:ascii="sans-serif" w:hAnsi="sans-serif"/>
                <w:color w:val="000000"/>
                <w:sz w:val="20"/>
              </w:rPr>
              <w:t>Operating leases</w:t>
            </w:r>
          </w:p>
        </w:tc>
        <w:tc>
          <w:tcPr>
            <w:tcW w:w="2105"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2.74 years</w:t>
            </w:r>
          </w:p>
        </w:tc>
        <w:tc>
          <w:tcPr>
            <w:tcW w:w="2460" w:type="dxa"/>
            <w:tcBorders/>
            <w:tcMar>
              <w:top w:w="0" w:type="dxa"/>
              <w:left w:w="0" w:type="dxa"/>
              <w:bottom w:w="0" w:type="dxa"/>
              <w:right w:w="0" w:type="dxa"/>
            </w:tcMar>
            <w:vAlign w:val="center"/>
          </w:tcPr>
          <w:p>
            <w:pPr>
              <w:pStyle w:val="TableContents"/>
              <w:bidi w:val="0"/>
              <w:spacing w:before="120" w:after="283"/>
              <w:ind w:left="0" w:right="0" w:firstLine="149"/>
              <w:jc w:val="right"/>
              <w:rPr>
                <w:rFonts w:ascii="sans-serif" w:hAnsi="sans-serif"/>
                <w:color w:val="000000"/>
                <w:sz w:val="20"/>
              </w:rPr>
            </w:pPr>
            <w:r>
              <w:rPr>
                <w:rFonts w:ascii="sans-serif" w:hAnsi="sans-serif"/>
                <w:color w:val="000000"/>
                <w:sz w:val="20"/>
              </w:rPr>
              <w:t>2.86 years</w:t>
            </w:r>
          </w:p>
        </w:tc>
      </w:tr>
      <w:tr>
        <w:trPr/>
        <w:tc>
          <w:tcPr>
            <w:tcW w:w="4430" w:type="dxa"/>
            <w:tcBorders/>
            <w:tcMar>
              <w:top w:w="0" w:type="dxa"/>
              <w:left w:w="0" w:type="dxa"/>
              <w:bottom w:w="0" w:type="dxa"/>
              <w:right w:w="0" w:type="dxa"/>
            </w:tcMar>
            <w:vAlign w:val="center"/>
          </w:tcPr>
          <w:p>
            <w:pPr>
              <w:pStyle w:val="TableContents"/>
              <w:bidi w:val="0"/>
              <w:spacing w:before="120" w:after="283"/>
              <w:ind w:left="0" w:right="0" w:firstLine="149"/>
              <w:jc w:val="left"/>
              <w:rPr>
                <w:rFonts w:ascii="sans-serif" w:hAnsi="sans-serif"/>
                <w:color w:val="000000"/>
                <w:sz w:val="20"/>
              </w:rPr>
            </w:pPr>
            <w:r>
              <w:rPr>
                <w:rFonts w:ascii="sans-serif" w:hAnsi="sans-serif"/>
                <w:color w:val="000000"/>
                <w:sz w:val="20"/>
              </w:rPr>
              <w:t>Finance leases</w:t>
            </w:r>
          </w:p>
        </w:tc>
        <w:tc>
          <w:tcPr>
            <w:tcW w:w="2105"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3.34 years</w:t>
            </w:r>
          </w:p>
        </w:tc>
        <w:tc>
          <w:tcPr>
            <w:tcW w:w="2460" w:type="dxa"/>
            <w:tcBorders/>
            <w:tcMar>
              <w:top w:w="0" w:type="dxa"/>
              <w:left w:w="0" w:type="dxa"/>
              <w:bottom w:w="0" w:type="dxa"/>
              <w:right w:w="0" w:type="dxa"/>
            </w:tcMar>
            <w:vAlign w:val="center"/>
          </w:tcPr>
          <w:p>
            <w:pPr>
              <w:pStyle w:val="TableContents"/>
              <w:bidi w:val="0"/>
              <w:spacing w:before="120" w:after="283"/>
              <w:ind w:left="0" w:right="0" w:firstLine="50"/>
              <w:jc w:val="right"/>
              <w:rPr>
                <w:rFonts w:ascii="sans-serif" w:hAnsi="sans-serif"/>
                <w:color w:val="000000"/>
                <w:sz w:val="20"/>
              </w:rPr>
            </w:pPr>
            <w:r>
              <w:rPr>
                <w:rFonts w:ascii="sans-serif" w:hAnsi="sans-serif"/>
                <w:color w:val="000000"/>
                <w:sz w:val="20"/>
              </w:rPr>
              <w:t>3.58 years</w:t>
            </w:r>
          </w:p>
        </w:tc>
      </w:tr>
      <w:tr>
        <w:trPr/>
        <w:tc>
          <w:tcPr>
            <w:tcW w:w="4430" w:type="dxa"/>
            <w:tcBorders/>
            <w:tcMar>
              <w:top w:w="0" w:type="dxa"/>
              <w:left w:w="0" w:type="dxa"/>
              <w:bottom w:w="0" w:type="dxa"/>
              <w:right w:w="0" w:type="dxa"/>
            </w:tcMar>
            <w:vAlign w:val="center"/>
          </w:tcPr>
          <w:p>
            <w:pPr>
              <w:pStyle w:val="TableContents"/>
              <w:bidi w:val="0"/>
              <w:spacing w:before="120" w:after="283"/>
              <w:ind w:left="0" w:right="0" w:firstLine="50"/>
              <w:jc w:val="left"/>
              <w:rPr>
                <w:rFonts w:ascii="sans-serif" w:hAnsi="sans-serif"/>
                <w:color w:val="000000"/>
                <w:sz w:val="20"/>
              </w:rPr>
            </w:pPr>
            <w:r>
              <w:rPr>
                <w:rFonts w:ascii="sans-serif" w:hAnsi="sans-serif"/>
                <w:color w:val="000000"/>
                <w:sz w:val="20"/>
              </w:rPr>
              <w:t>Weighted-average discount rate:</w:t>
            </w:r>
          </w:p>
        </w:tc>
        <w:tc>
          <w:tcPr>
            <w:tcW w:w="2105" w:type="dxa"/>
            <w:tcBorders/>
            <w:tcMar>
              <w:top w:w="0" w:type="dxa"/>
              <w:left w:w="0" w:type="dxa"/>
              <w:bottom w:w="0" w:type="dxa"/>
              <w:right w:w="0" w:type="dxa"/>
            </w:tcMar>
            <w:vAlign w:val="center"/>
          </w:tcPr>
          <w:p>
            <w:pPr>
              <w:pStyle w:val="TableContents"/>
              <w:bidi w:val="0"/>
              <w:spacing w:before="120" w:after="283"/>
              <w:jc w:val="left"/>
              <w:rPr/>
            </w:pPr>
            <w:r>
              <w:rPr/>
              <w:t> </w:t>
            </w:r>
          </w:p>
        </w:tc>
        <w:tc>
          <w:tcPr>
            <w:tcW w:w="2460" w:type="dxa"/>
            <w:tcBorders/>
            <w:tcMar>
              <w:top w:w="0" w:type="dxa"/>
              <w:left w:w="0" w:type="dxa"/>
              <w:bottom w:w="0" w:type="dxa"/>
              <w:right w:w="0" w:type="dxa"/>
            </w:tcMar>
            <w:vAlign w:val="center"/>
          </w:tcPr>
          <w:p>
            <w:pPr>
              <w:pStyle w:val="TableContents"/>
              <w:bidi w:val="0"/>
              <w:spacing w:before="120" w:after="283"/>
              <w:ind w:left="0" w:right="0" w:firstLine="149"/>
              <w:jc w:val="left"/>
              <w:rPr/>
            </w:pPr>
            <w:r>
              <w:rPr/>
              <w:t> </w:t>
            </w:r>
          </w:p>
        </w:tc>
      </w:tr>
      <w:tr>
        <w:trPr/>
        <w:tc>
          <w:tcPr>
            <w:tcW w:w="4430" w:type="dxa"/>
            <w:tcBorders/>
            <w:tcMar>
              <w:top w:w="0" w:type="dxa"/>
              <w:left w:w="0" w:type="dxa"/>
              <w:bottom w:w="0" w:type="dxa"/>
              <w:right w:w="0" w:type="dxa"/>
            </w:tcMar>
            <w:vAlign w:val="center"/>
          </w:tcPr>
          <w:p>
            <w:pPr>
              <w:pStyle w:val="TableContents"/>
              <w:bidi w:val="0"/>
              <w:spacing w:before="120" w:after="283"/>
              <w:ind w:left="0" w:right="0" w:firstLine="149"/>
              <w:jc w:val="left"/>
              <w:rPr>
                <w:rFonts w:ascii="sans-serif" w:hAnsi="sans-serif"/>
                <w:color w:val="000000"/>
                <w:sz w:val="20"/>
              </w:rPr>
            </w:pPr>
            <w:r>
              <w:rPr>
                <w:rFonts w:ascii="sans-serif" w:hAnsi="sans-serif"/>
                <w:color w:val="000000"/>
                <w:sz w:val="20"/>
              </w:rPr>
              <w:t>Operating leases</w:t>
            </w:r>
          </w:p>
        </w:tc>
        <w:tc>
          <w:tcPr>
            <w:tcW w:w="2105"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3.49%</w:t>
            </w:r>
          </w:p>
        </w:tc>
        <w:tc>
          <w:tcPr>
            <w:tcW w:w="2460" w:type="dxa"/>
            <w:tcBorders/>
            <w:tcMar>
              <w:top w:w="0" w:type="dxa"/>
              <w:left w:w="0" w:type="dxa"/>
              <w:bottom w:w="0" w:type="dxa"/>
              <w:right w:w="0" w:type="dxa"/>
            </w:tcMar>
            <w:vAlign w:val="center"/>
          </w:tcPr>
          <w:p>
            <w:pPr>
              <w:pStyle w:val="TableContents"/>
              <w:bidi w:val="0"/>
              <w:spacing w:before="120" w:after="283"/>
              <w:ind w:left="0" w:right="0" w:firstLine="149"/>
              <w:jc w:val="right"/>
              <w:rPr>
                <w:rFonts w:ascii="sans-serif" w:hAnsi="sans-serif"/>
                <w:color w:val="000000"/>
                <w:sz w:val="20"/>
              </w:rPr>
            </w:pPr>
            <w:r>
              <w:rPr>
                <w:rFonts w:ascii="sans-serif" w:hAnsi="sans-serif"/>
                <w:color w:val="000000"/>
                <w:sz w:val="20"/>
              </w:rPr>
              <w:t>3.37%</w:t>
            </w:r>
          </w:p>
        </w:tc>
      </w:tr>
      <w:tr>
        <w:trPr/>
        <w:tc>
          <w:tcPr>
            <w:tcW w:w="4430" w:type="dxa"/>
            <w:tcBorders/>
            <w:tcMar>
              <w:top w:w="0" w:type="dxa"/>
              <w:left w:w="0" w:type="dxa"/>
              <w:bottom w:w="0" w:type="dxa"/>
              <w:right w:w="0" w:type="dxa"/>
            </w:tcMar>
            <w:vAlign w:val="center"/>
          </w:tcPr>
          <w:p>
            <w:pPr>
              <w:pStyle w:val="TableContents"/>
              <w:bidi w:val="0"/>
              <w:spacing w:before="120" w:after="283"/>
              <w:ind w:left="0" w:right="0" w:firstLine="149"/>
              <w:jc w:val="left"/>
              <w:rPr>
                <w:rFonts w:ascii="sans-serif" w:hAnsi="sans-serif"/>
                <w:color w:val="000000"/>
                <w:sz w:val="20"/>
              </w:rPr>
            </w:pPr>
            <w:r>
              <w:rPr>
                <w:rFonts w:ascii="sans-serif" w:hAnsi="sans-serif"/>
                <w:color w:val="000000"/>
                <w:sz w:val="20"/>
              </w:rPr>
              <w:t>Finance leases</w:t>
            </w:r>
          </w:p>
        </w:tc>
        <w:tc>
          <w:tcPr>
            <w:tcW w:w="2105"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6.21%</w:t>
            </w:r>
          </w:p>
        </w:tc>
        <w:tc>
          <w:tcPr>
            <w:tcW w:w="2460"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4.65 %</w:t>
            </w:r>
          </w:p>
        </w:tc>
      </w:tr>
    </w:tbl>
    <w:p>
      <w:pPr>
        <w:pStyle w:val="TextBody"/>
        <w:bidi w:val="0"/>
        <w:spacing w:before="120" w:after="283"/>
        <w:jc w:val="both"/>
        <w:rPr>
          <w:rFonts w:ascii="sans-serif" w:hAnsi="sans-serif"/>
          <w:color w:val="000000"/>
          <w:sz w:val="20"/>
        </w:rPr>
      </w:pPr>
      <w:r>
        <w:rPr>
          <w:rFonts w:ascii="sans-serif" w:hAnsi="sans-serif"/>
          <w:color w:val="000000"/>
          <w:sz w:val="20"/>
        </w:rPr>
        <w:t>As of March 31, 2026 and December 31, 2025, total operating and finance lease right-of-use assets were $9,239,320 and $9,086,513, respectively. As of March 31, 2026 and December 31, 2025, total operating and finance lease liabilities were $7,901,276 and $8,855,725, respectively, of which $3,425,556 and $3,687,717 were classified as current, respectively. There have been no material changes to the Company's future lease maturity schedule from that disclosed in Note 6 to the Company's audited combined and consolidated financial statements as of and for the year ended December 31, 2025.</w:t>
      </w:r>
    </w:p>
    <w:p>
      <w:pPr>
        <w:pStyle w:val="TextBody"/>
        <w:bidi w:val="0"/>
        <w:spacing w:before="120" w:after="283"/>
        <w:jc w:val="left"/>
        <w:rPr>
          <w:rFonts w:ascii="sans-serif" w:hAnsi="sans-serif"/>
          <w:b/>
          <w:color w:val="000000"/>
          <w:sz w:val="20"/>
        </w:rPr>
      </w:pPr>
      <w:r>
        <w:rPr>
          <w:rFonts w:ascii="sans-serif" w:hAnsi="sans-serif"/>
          <w:b/>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sans-serif" w:hAnsi="sans-serif"/>
          <w:b/>
          <w:color w:val="000000"/>
          <w:sz w:val="20"/>
        </w:rPr>
      </w:pPr>
      <w:bookmarkStart w:id="20" w:name="x__commitments_and_contingencies"/>
      <w:bookmarkEnd w:id="20"/>
      <w:r>
        <w:rPr>
          <w:rFonts w:ascii="sans-serif" w:hAnsi="sans-serif"/>
          <w:b/>
          <w:color w:val="000000"/>
          <w:sz w:val="20"/>
        </w:rPr>
        <w:t>COMMITMENTS AND CONTINGENCIES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sz w:val="20"/>
        </w:rPr>
      </w:pPr>
      <w:r>
        <w:rPr>
          <w:rFonts w:ascii="sans-serif" w:hAnsi="sans-serif"/>
          <w:b/>
          <w:color w:val="000000"/>
          <w:sz w:val="20"/>
        </w:rPr>
        <w:t>Leases</w:t>
      </w:r>
      <w:r>
        <w:rPr>
          <w:rFonts w:ascii="sans-serif" w:hAnsi="sans-serif"/>
          <w:color w:val="000000"/>
          <w:sz w:val="20"/>
        </w:rPr>
        <w:t>:</w:t>
      </w:r>
    </w:p>
    <w:p>
      <w:pPr>
        <w:pStyle w:val="TextBody"/>
        <w:bidi w:val="0"/>
        <w:spacing w:before="120" w:after="283"/>
        <w:jc w:val="both"/>
        <w:rPr>
          <w:rFonts w:ascii="sans-serif" w:hAnsi="sans-serif"/>
          <w:color w:val="000000"/>
          <w:sz w:val="20"/>
        </w:rPr>
      </w:pPr>
      <w:r>
        <w:rPr>
          <w:rFonts w:ascii="sans-serif" w:hAnsi="sans-serif"/>
          <w:color w:val="000000"/>
          <w:sz w:val="20"/>
        </w:rPr>
        <w:t>The Company leases office spaces under non-cancelable operating lease agreements, which expire from 2025 through 2030. The Company is required to pay property taxes, insurance, and normal maintenance costs for certain of these facilities and will be required to pay any increases over the base year of these expenses on the remainder of the Company’s facilities.</w:t>
      </w:r>
    </w:p>
    <w:p>
      <w:pPr>
        <w:pStyle w:val="TextBody"/>
        <w:bidi w:val="0"/>
        <w:spacing w:before="120" w:after="283"/>
        <w:jc w:val="both"/>
        <w:rPr>
          <w:rFonts w:ascii="sans-serif" w:hAnsi="sans-serif"/>
          <w:b/>
          <w:color w:val="000000"/>
          <w:sz w:val="20"/>
        </w:rPr>
      </w:pPr>
      <w:r>
        <w:rPr>
          <w:rFonts w:ascii="sans-serif" w:hAnsi="sans-serif"/>
          <w:b/>
          <w:color w:val="000000"/>
          <w:sz w:val="20"/>
        </w:rPr>
        <w:t>Sales Tax:</w:t>
      </w:r>
    </w:p>
    <w:p>
      <w:pPr>
        <w:pStyle w:val="TextBody"/>
        <w:bidi w:val="0"/>
        <w:spacing w:before="120" w:after="283"/>
        <w:jc w:val="both"/>
        <w:rPr>
          <w:rFonts w:ascii="sans-serif" w:hAnsi="sans-serif"/>
          <w:color w:val="000000"/>
          <w:sz w:val="20"/>
        </w:rPr>
      </w:pPr>
      <w:r>
        <w:rPr>
          <w:rFonts w:ascii="sans-serif" w:hAnsi="sans-serif"/>
          <w:color w:val="000000"/>
          <w:sz w:val="20"/>
        </w:rPr>
        <w:t>From time to time, the Company may be subject to various sales tax assessments, audits, and claims. In connection with ongoing state and local tax compliance and recent economic nexus evaluations, the Company has identified potential sales and use tax liabilities in various jurisdictions.</w:t>
      </w:r>
    </w:p>
    <w:p>
      <w:pPr>
        <w:pStyle w:val="TextBody"/>
        <w:bidi w:val="0"/>
        <w:spacing w:before="120" w:after="283"/>
        <w:jc w:val="both"/>
        <w:rPr>
          <w:rFonts w:ascii="Times New Roman" w:hAnsi="Times New Roman"/>
          <w:sz w:val="20"/>
        </w:rPr>
      </w:pPr>
      <w:r>
        <w:rPr>
          <w:rFonts w:ascii="sans-serif" w:hAnsi="sans-serif"/>
          <w:i/>
          <w:color w:val="000000"/>
          <w:sz w:val="20"/>
        </w:rPr>
        <w:t xml:space="preserve">Subscription — </w:t>
      </w:r>
      <w:r>
        <w:rPr>
          <w:rFonts w:ascii="sans-serif" w:hAnsi="sans-serif"/>
          <w:color w:val="000000"/>
          <w:sz w:val="20"/>
        </w:rPr>
        <w:t>The Company determined that it was required to pay sales and use tax in various jurisdictions. Accordingly, the Company has recorded a liability of $1,931,677 and $1,723,775 as of March 31, 2026 and December 31, 2025, respectively, for the amount it estimates that it did not collect from customers. If these jurisdictions determine that additional amounts are necessary, the Company will be required to pay accordingly. Sales tax expense is included in general and administrative expenses on the combined and consolidated statement of operations.</w:t>
      </w:r>
    </w:p>
    <w:p>
      <w:pPr>
        <w:pStyle w:val="TextBody"/>
        <w:bidi w:val="0"/>
        <w:spacing w:before="120" w:after="283"/>
        <w:jc w:val="both"/>
        <w:rPr>
          <w:rFonts w:ascii="Times New Roman" w:hAnsi="Times New Roman"/>
          <w:sz w:val="20"/>
        </w:rPr>
      </w:pPr>
      <w:r>
        <w:rPr>
          <w:rFonts w:ascii="sans-serif" w:hAnsi="sans-serif"/>
          <w:i/>
          <w:color w:val="000000"/>
          <w:sz w:val="20"/>
        </w:rPr>
        <w:t xml:space="preserve">EZ Pay — </w:t>
      </w:r>
      <w:r>
        <w:rPr>
          <w:rFonts w:ascii="sans-serif" w:hAnsi="sans-serif"/>
          <w:color w:val="000000"/>
          <w:sz w:val="20"/>
        </w:rPr>
        <w:t>Based on the interpretation of state tax regulations the Company believes it is reasonably possible that a sales and use tax liability has been incurred for certain revenue streams. However, the Company is currently unable to reasonably estimate the ultimate amount or range of this potential loss. The inability to estimate the liability is primarily driven by complexities related to sales sourcing rules, specifically the varying, jurisdiction-specific criteria for classifying and assigning customer transactions across multiple taxing authorities.</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sans-serif" w:hAnsi="sans-serif"/>
          <w:color w:val="000000"/>
          <w:sz w:val="20"/>
        </w:rPr>
      </w:pPr>
      <w:r>
        <w:rPr>
          <w:rFonts w:ascii="sans-serif" w:hAnsi="sans-serif"/>
          <w:color w:val="000000"/>
          <w:sz w:val="20"/>
        </w:rPr>
        <w:t>Because the ultimate sourcing determinations and corresponding assessment methodologies remain subject to significant ongoing uncertainty, the Company cannot determine a reliable estimate of the liability. The Company continues to evaluate its historical transactions and filing positions and will record an accrual in the period that the liability becomes probable and reasonably estimable.</w:t>
      </w:r>
    </w:p>
    <w:p>
      <w:pPr>
        <w:pStyle w:val="TextBody"/>
        <w:bidi w:val="0"/>
        <w:spacing w:before="120" w:after="283"/>
        <w:jc w:val="left"/>
        <w:rPr>
          <w:rFonts w:ascii="Times New Roman" w:hAnsi="Times New Roman"/>
          <w:sz w:val="20"/>
        </w:rPr>
      </w:pPr>
      <w:r>
        <w:rPr>
          <w:rFonts w:ascii="sans-serif" w:hAnsi="sans-serif"/>
          <w:b/>
          <w:color w:val="000000"/>
          <w:sz w:val="20"/>
        </w:rPr>
        <w:t>Litigation</w:t>
      </w:r>
      <w:r>
        <w:rPr>
          <w:rFonts w:ascii="sans-serif" w:hAnsi="sans-serif"/>
          <w:color w:val="000000"/>
          <w:sz w:val="20"/>
        </w:rPr>
        <w:t>:</w:t>
      </w:r>
    </w:p>
    <w:p>
      <w:pPr>
        <w:pStyle w:val="TextBody"/>
        <w:bidi w:val="0"/>
        <w:spacing w:before="120" w:after="283"/>
        <w:jc w:val="both"/>
        <w:rPr>
          <w:rFonts w:ascii="sans-serif" w:hAnsi="sans-serif"/>
          <w:color w:val="000000"/>
          <w:sz w:val="20"/>
        </w:rPr>
      </w:pPr>
      <w:r>
        <w:rPr>
          <w:rFonts w:ascii="sans-serif" w:hAnsi="sans-serif"/>
          <w:color w:val="000000"/>
          <w:sz w:val="20"/>
        </w:rPr>
        <w:t>From time to time, the Company may become involved in various legal proceedings in the ordinary course of its business and may be subject to third-party infringement claims. 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pStyle w:val="TextBody"/>
        <w:bidi w:val="0"/>
        <w:spacing w:before="120" w:after="283"/>
        <w:jc w:val="both"/>
        <w:rPr>
          <w:rFonts w:ascii="sans-serif" w:hAnsi="sans-serif"/>
          <w:color w:val="000000"/>
          <w:sz w:val="20"/>
        </w:rPr>
      </w:pPr>
      <w:r>
        <w:rPr>
          <w:rFonts w:ascii="sans-serif" w:hAnsi="sans-serif"/>
          <w:color w:val="000000"/>
          <w:sz w:val="20"/>
        </w:rPr>
        <w:t>From time to time, the Company is subject to various claims that arise in the ordinary course of business. Management believes that any liability of the Company that may arise out of or with respect to these matters will not materially adversely affect the financial position, results of operations, or cash flows of the Company.</w:t>
      </w:r>
    </w:p>
    <w:p>
      <w:pPr>
        <w:pStyle w:val="TextBody"/>
        <w:bidi w:val="0"/>
        <w:spacing w:before="120" w:after="283"/>
        <w:jc w:val="left"/>
        <w:rPr>
          <w:rFonts w:ascii="sans-serif" w:hAnsi="sans-serif"/>
          <w:b/>
          <w:color w:val="000000"/>
          <w:sz w:val="20"/>
        </w:rPr>
      </w:pPr>
      <w:r>
        <w:rPr>
          <w:rFonts w:ascii="sans-serif" w:hAnsi="sans-serif"/>
          <w:b/>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sans-serif" w:hAnsi="sans-serif"/>
          <w:b/>
          <w:color w:val="000000"/>
          <w:sz w:val="20"/>
        </w:rPr>
      </w:pPr>
      <w:bookmarkStart w:id="21" w:name="x__common_stock"/>
      <w:bookmarkEnd w:id="21"/>
      <w:r>
        <w:rPr>
          <w:rFonts w:ascii="sans-serif" w:hAnsi="sans-serif"/>
          <w:b/>
          <w:color w:val="000000"/>
          <w:sz w:val="20"/>
        </w:rPr>
        <w:t>COMMON STOCK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sans-serif" w:hAnsi="sans-serif"/>
          <w:color w:val="000000"/>
          <w:sz w:val="20"/>
        </w:rPr>
      </w:pPr>
      <w:r>
        <w:rPr>
          <w:rFonts w:ascii="sans-serif" w:hAnsi="sans-serif"/>
          <w:color w:val="000000"/>
          <w:sz w:val="20"/>
        </w:rPr>
        <w:t>As of March 31, 2026, and December 31, 2025, the Company had 10,000,000 shares of common stock authorized and 3,912,977 shares of common stock issued for purposes of satisfying conversion of preferred stock, the exercise of warrants, the exercise and future grant of common stock options, and for purposes of any future business acquisitions and transactions.</w:t>
      </w:r>
    </w:p>
    <w:p>
      <w:pPr>
        <w:pStyle w:val="TextBody"/>
        <w:bidi w:val="0"/>
        <w:spacing w:before="120" w:after="283"/>
        <w:jc w:val="left"/>
        <w:rPr>
          <w:rFonts w:ascii="sans-serif" w:hAnsi="sans-serif"/>
          <w:b/>
          <w:color w:val="000000"/>
          <w:sz w:val="20"/>
        </w:rPr>
      </w:pPr>
      <w:r>
        <w:rPr>
          <w:rFonts w:ascii="sans-serif" w:hAnsi="sans-serif"/>
          <w:b/>
          <w:color w:val="000000"/>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sans-serif" w:hAnsi="sans-serif"/>
          <w:b/>
          <w:color w:val="000000"/>
          <w:sz w:val="20"/>
        </w:rPr>
      </w:pPr>
      <w:bookmarkStart w:id="22" w:name="x__income_taxes"/>
      <w:bookmarkEnd w:id="22"/>
      <w:r>
        <w:rPr>
          <w:rFonts w:ascii="sans-serif" w:hAnsi="sans-serif"/>
          <w:b/>
          <w:color w:val="000000"/>
          <w:sz w:val="20"/>
        </w:rPr>
        <w:t>INCOME TAXES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sans-serif" w:hAnsi="sans-serif"/>
          <w:color w:val="000000"/>
          <w:sz w:val="20"/>
        </w:rPr>
      </w:pPr>
      <w:bookmarkStart w:id="23" w:name="x0__related_party_transactions"/>
      <w:bookmarkEnd w:id="23"/>
      <w:r>
        <w:rPr>
          <w:rFonts w:ascii="sans-serif" w:hAnsi="sans-serif"/>
          <w:color w:val="000000"/>
          <w:sz w:val="20"/>
        </w:rPr>
        <w:t>Income tax expense (benefit) and the Company's effective tax rate for the three months ended March 31, 2026 and fiscal year ended December 31, 2025 were as follows:</w:t>
      </w:r>
    </w:p>
    <w:tbl>
      <w:tblPr>
        <w:tblW w:w="7741" w:type="dxa"/>
        <w:jc w:val="left"/>
        <w:tblInd w:w="0" w:type="dxa"/>
        <w:tblLayout w:type="fixed"/>
        <w:tblCellMar>
          <w:top w:w="28" w:type="dxa"/>
          <w:left w:w="28" w:type="dxa"/>
          <w:bottom w:w="28" w:type="dxa"/>
          <w:right w:w="28" w:type="dxa"/>
        </w:tblCellMar>
      </w:tblPr>
      <w:tblGrid>
        <w:gridCol w:w="4074"/>
        <w:gridCol w:w="1500"/>
        <w:gridCol w:w="175"/>
        <w:gridCol w:w="175"/>
        <w:gridCol w:w="1817"/>
      </w:tblGrid>
      <w:tr>
        <w:trPr/>
        <w:tc>
          <w:tcPr>
            <w:tcW w:w="407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ind w:left="0" w:right="0" w:firstLine="83"/>
              <w:jc w:val="left"/>
              <w:rPr>
                <w:sz w:val="4"/>
                <w:szCs w:val="4"/>
              </w:rPr>
            </w:pPr>
            <w:r>
              <w:rPr>
                <w:sz w:val="4"/>
                <w:szCs w:val="4"/>
              </w:rPr>
            </w:r>
          </w:p>
        </w:tc>
      </w:tr>
      <w:tr>
        <w:trPr/>
        <w:tc>
          <w:tcPr>
            <w:tcW w:w="4074" w:type="dxa"/>
            <w:tcBorders/>
            <w:tcMar>
              <w:top w:w="0" w:type="dxa"/>
              <w:left w:w="0" w:type="dxa"/>
              <w:bottom w:w="0" w:type="dxa"/>
              <w:right w:w="0" w:type="dxa"/>
            </w:tcMar>
            <w:vAlign w:val="center"/>
          </w:tcPr>
          <w:p>
            <w:pPr>
              <w:pStyle w:val="TableContents"/>
              <w:bidi w:val="0"/>
              <w:spacing w:before="120" w:after="283"/>
              <w:ind w:left="0" w:right="0" w:firstLine="83"/>
              <w:jc w:val="left"/>
              <w:rPr/>
            </w:pPr>
            <w:r>
              <w:rPr/>
              <w:t> </w:t>
            </w:r>
          </w:p>
        </w:tc>
        <w:tc>
          <w:tcPr>
            <w:tcW w:w="3667" w:type="dxa"/>
            <w:gridSpan w:val="4"/>
            <w:tcBorders/>
            <w:tcMar>
              <w:top w:w="0" w:type="dxa"/>
              <w:left w:w="0" w:type="dxa"/>
              <w:bottom w:w="0" w:type="dxa"/>
              <w:right w:w="0" w:type="dxa"/>
            </w:tcMar>
            <w:vAlign w:val="center"/>
          </w:tcPr>
          <w:p>
            <w:pPr>
              <w:pStyle w:val="TableContents"/>
              <w:bidi w:val="0"/>
              <w:spacing w:before="120" w:after="283"/>
              <w:ind w:left="0" w:right="0" w:firstLine="83"/>
              <w:jc w:val="center"/>
              <w:rPr>
                <w:rFonts w:ascii="sans-serif" w:hAnsi="sans-serif"/>
                <w:b/>
                <w:color w:val="000000"/>
                <w:sz w:val="20"/>
              </w:rPr>
            </w:pPr>
            <w:r>
              <w:rPr>
                <w:rFonts w:ascii="sans-serif" w:hAnsi="sans-serif"/>
                <w:b/>
                <w:color w:val="000000"/>
                <w:sz w:val="20"/>
              </w:rPr>
              <w:t>Three Months Ended March 31,</w:t>
            </w:r>
          </w:p>
        </w:tc>
      </w:tr>
      <w:tr>
        <w:trPr/>
        <w:tc>
          <w:tcPr>
            <w:tcW w:w="4074" w:type="dxa"/>
            <w:tcBorders/>
            <w:tcMar>
              <w:top w:w="0" w:type="dxa"/>
              <w:left w:w="0" w:type="dxa"/>
              <w:bottom w:w="0" w:type="dxa"/>
              <w:right w:w="0" w:type="dxa"/>
            </w:tcMar>
            <w:vAlign w:val="center"/>
          </w:tcPr>
          <w:p>
            <w:pPr>
              <w:pStyle w:val="TableContents"/>
              <w:bidi w:val="0"/>
              <w:spacing w:before="120" w:after="283"/>
              <w:ind w:left="0" w:right="0" w:firstLine="83"/>
              <w:jc w:val="left"/>
              <w:rPr/>
            </w:pPr>
            <w:r>
              <w:rPr/>
              <w:t> </w:t>
            </w:r>
          </w:p>
        </w:tc>
        <w:tc>
          <w:tcPr>
            <w:tcW w:w="1500" w:type="dxa"/>
            <w:tcBorders/>
            <w:tcMar>
              <w:top w:w="0" w:type="dxa"/>
              <w:left w:w="0" w:type="dxa"/>
              <w:bottom w:w="0" w:type="dxa"/>
              <w:right w:w="0" w:type="dxa"/>
            </w:tcMar>
            <w:vAlign w:val="center"/>
          </w:tcPr>
          <w:p>
            <w:pPr>
              <w:pStyle w:val="TableContents"/>
              <w:bidi w:val="0"/>
              <w:spacing w:before="120" w:after="283"/>
              <w:jc w:val="center"/>
              <w:rPr>
                <w:rFonts w:ascii="sans-serif" w:hAnsi="sans-serif"/>
                <w:b/>
                <w:color w:val="000000"/>
                <w:sz w:val="20"/>
              </w:rPr>
            </w:pPr>
            <w:r>
              <w:rPr>
                <w:rFonts w:ascii="sans-serif" w:hAnsi="sans-serif"/>
                <w:b/>
                <w:color w:val="000000"/>
                <w:sz w:val="20"/>
              </w:rPr>
              <w:t>2026</w:t>
            </w:r>
          </w:p>
        </w:tc>
        <w:tc>
          <w:tcPr>
            <w:tcW w:w="175"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75"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817" w:type="dxa"/>
            <w:tcBorders/>
            <w:tcMar>
              <w:top w:w="0" w:type="dxa"/>
              <w:left w:w="0" w:type="dxa"/>
              <w:bottom w:w="0" w:type="dxa"/>
              <w:right w:w="0" w:type="dxa"/>
            </w:tcMar>
            <w:vAlign w:val="center"/>
          </w:tcPr>
          <w:p>
            <w:pPr>
              <w:pStyle w:val="TableContents"/>
              <w:bidi w:val="0"/>
              <w:spacing w:before="120" w:after="283"/>
              <w:ind w:left="0" w:right="0" w:firstLine="83"/>
              <w:jc w:val="center"/>
              <w:rPr>
                <w:rFonts w:ascii="sans-serif" w:hAnsi="sans-serif"/>
                <w:b/>
                <w:color w:val="000000"/>
                <w:sz w:val="20"/>
              </w:rPr>
            </w:pPr>
            <w:r>
              <w:rPr>
                <w:rFonts w:ascii="sans-serif" w:hAnsi="sans-serif"/>
                <w:b/>
                <w:color w:val="000000"/>
                <w:sz w:val="20"/>
              </w:rPr>
              <w:t>2025</w:t>
            </w:r>
          </w:p>
        </w:tc>
      </w:tr>
      <w:tr>
        <w:trPr/>
        <w:tc>
          <w:tcPr>
            <w:tcW w:w="4074" w:type="dxa"/>
            <w:tcBorders/>
            <w:tcMar>
              <w:top w:w="0" w:type="dxa"/>
              <w:left w:w="0" w:type="dxa"/>
              <w:bottom w:w="0" w:type="dxa"/>
              <w:right w:w="0" w:type="dxa"/>
            </w:tcMar>
            <w:vAlign w:val="center"/>
          </w:tcPr>
          <w:p>
            <w:pPr>
              <w:pStyle w:val="TableContents"/>
              <w:bidi w:val="0"/>
              <w:spacing w:before="120" w:after="283"/>
              <w:ind w:left="0" w:right="0" w:firstLine="83"/>
              <w:jc w:val="left"/>
              <w:rPr>
                <w:rFonts w:ascii="sans-serif" w:hAnsi="sans-serif"/>
                <w:color w:val="000000"/>
                <w:sz w:val="20"/>
              </w:rPr>
            </w:pPr>
            <w:r>
              <w:rPr>
                <w:rFonts w:ascii="sans-serif" w:hAnsi="sans-serif"/>
                <w:color w:val="000000"/>
                <w:sz w:val="20"/>
              </w:rPr>
              <w:t>Income (loss) before income taxes</w:t>
            </w:r>
          </w:p>
        </w:tc>
        <w:tc>
          <w:tcPr>
            <w:tcW w:w="1500"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$ 2,586,908</w:t>
            </w:r>
          </w:p>
        </w:tc>
        <w:tc>
          <w:tcPr>
            <w:tcW w:w="175" w:type="dxa"/>
            <w:tcBorders/>
            <w:tcMar>
              <w:top w:w="0" w:type="dxa"/>
              <w:left w:w="0" w:type="dxa"/>
              <w:bottom w:w="0" w:type="dxa"/>
              <w:right w:w="0" w:type="dxa"/>
            </w:tcMar>
            <w:vAlign w:val="center"/>
          </w:tcPr>
          <w:p>
            <w:pPr>
              <w:pStyle w:val="TableContents"/>
              <w:bidi w:val="0"/>
              <w:spacing w:before="120" w:after="283"/>
              <w:jc w:val="right"/>
              <w:rPr/>
            </w:pPr>
            <w:r>
              <w:rPr/>
              <w:t> </w:t>
            </w:r>
          </w:p>
        </w:tc>
        <w:tc>
          <w:tcPr>
            <w:tcW w:w="175" w:type="dxa"/>
            <w:tcBorders/>
            <w:tcMar>
              <w:top w:w="0" w:type="dxa"/>
              <w:left w:w="0" w:type="dxa"/>
              <w:bottom w:w="0" w:type="dxa"/>
              <w:right w:w="0" w:type="dxa"/>
            </w:tcMar>
            <w:vAlign w:val="center"/>
          </w:tcPr>
          <w:p>
            <w:pPr>
              <w:pStyle w:val="TableContents"/>
              <w:bidi w:val="0"/>
              <w:spacing w:before="120" w:after="283"/>
              <w:jc w:val="right"/>
              <w:rPr/>
            </w:pPr>
            <w:r>
              <w:rPr/>
              <w:t> </w:t>
            </w:r>
          </w:p>
        </w:tc>
        <w:tc>
          <w:tcPr>
            <w:tcW w:w="1817" w:type="dxa"/>
            <w:tcBorders/>
            <w:tcMar>
              <w:top w:w="0" w:type="dxa"/>
              <w:left w:w="0" w:type="dxa"/>
              <w:bottom w:w="0" w:type="dxa"/>
              <w:right w:w="0" w:type="dxa"/>
            </w:tcMar>
            <w:vAlign w:val="center"/>
          </w:tcPr>
          <w:p>
            <w:pPr>
              <w:pStyle w:val="TableContents"/>
              <w:bidi w:val="0"/>
              <w:spacing w:before="120" w:after="283"/>
              <w:ind w:left="0" w:right="0" w:firstLine="83"/>
              <w:jc w:val="right"/>
              <w:rPr>
                <w:rFonts w:ascii="sans-serif" w:hAnsi="sans-serif"/>
                <w:color w:val="000000"/>
                <w:sz w:val="20"/>
              </w:rPr>
            </w:pPr>
            <w:r>
              <w:rPr>
                <w:rFonts w:ascii="sans-serif" w:hAnsi="sans-serif"/>
                <w:color w:val="000000"/>
                <w:sz w:val="20"/>
              </w:rPr>
              <w:t>$ (847,986)</w:t>
            </w:r>
          </w:p>
        </w:tc>
      </w:tr>
      <w:tr>
        <w:trPr/>
        <w:tc>
          <w:tcPr>
            <w:tcW w:w="4074" w:type="dxa"/>
            <w:tcBorders/>
            <w:tcMar>
              <w:top w:w="0" w:type="dxa"/>
              <w:left w:w="0" w:type="dxa"/>
              <w:bottom w:w="0" w:type="dxa"/>
              <w:right w:w="0" w:type="dxa"/>
            </w:tcMar>
            <w:vAlign w:val="center"/>
          </w:tcPr>
          <w:p>
            <w:pPr>
              <w:pStyle w:val="TableContents"/>
              <w:bidi w:val="0"/>
              <w:spacing w:before="120" w:after="283"/>
              <w:ind w:left="0" w:right="0" w:firstLine="83"/>
              <w:jc w:val="left"/>
              <w:rPr>
                <w:rFonts w:ascii="sans-serif" w:hAnsi="sans-serif"/>
                <w:color w:val="000000"/>
                <w:sz w:val="20"/>
              </w:rPr>
            </w:pPr>
            <w:r>
              <w:rPr>
                <w:rFonts w:ascii="sans-serif" w:hAnsi="sans-serif"/>
                <w:color w:val="000000"/>
                <w:sz w:val="20"/>
              </w:rPr>
              <w:t>Current income tax expense [Update]</w:t>
            </w:r>
          </w:p>
        </w:tc>
        <w:tc>
          <w:tcPr>
            <w:tcW w:w="1500"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1,518,166</w:t>
            </w:r>
          </w:p>
        </w:tc>
        <w:tc>
          <w:tcPr>
            <w:tcW w:w="175" w:type="dxa"/>
            <w:tcBorders/>
            <w:tcMar>
              <w:top w:w="0" w:type="dxa"/>
              <w:left w:w="0" w:type="dxa"/>
              <w:bottom w:w="0" w:type="dxa"/>
              <w:right w:w="0" w:type="dxa"/>
            </w:tcMar>
            <w:vAlign w:val="center"/>
          </w:tcPr>
          <w:p>
            <w:pPr>
              <w:pStyle w:val="TableContents"/>
              <w:bidi w:val="0"/>
              <w:spacing w:before="120" w:after="283"/>
              <w:jc w:val="right"/>
              <w:rPr/>
            </w:pPr>
            <w:r>
              <w:rPr/>
              <w:t> </w:t>
            </w:r>
          </w:p>
        </w:tc>
        <w:tc>
          <w:tcPr>
            <w:tcW w:w="175" w:type="dxa"/>
            <w:tcBorders/>
            <w:tcMar>
              <w:top w:w="0" w:type="dxa"/>
              <w:left w:w="0" w:type="dxa"/>
              <w:bottom w:w="0" w:type="dxa"/>
              <w:right w:w="0" w:type="dxa"/>
            </w:tcMar>
            <w:vAlign w:val="center"/>
          </w:tcPr>
          <w:p>
            <w:pPr>
              <w:pStyle w:val="TableContents"/>
              <w:bidi w:val="0"/>
              <w:spacing w:before="120" w:after="283"/>
              <w:jc w:val="right"/>
              <w:rPr/>
            </w:pPr>
            <w:r>
              <w:rPr/>
              <w:t> </w:t>
            </w:r>
          </w:p>
        </w:tc>
        <w:tc>
          <w:tcPr>
            <w:tcW w:w="1817" w:type="dxa"/>
            <w:tcBorders/>
            <w:tcMar>
              <w:top w:w="0" w:type="dxa"/>
              <w:left w:w="0" w:type="dxa"/>
              <w:bottom w:w="0" w:type="dxa"/>
              <w:right w:w="0" w:type="dxa"/>
            </w:tcMar>
            <w:vAlign w:val="center"/>
          </w:tcPr>
          <w:p>
            <w:pPr>
              <w:pStyle w:val="TableContents"/>
              <w:bidi w:val="0"/>
              <w:spacing w:before="120" w:after="283"/>
              <w:ind w:left="0" w:right="0" w:firstLine="83"/>
              <w:jc w:val="right"/>
              <w:rPr>
                <w:rFonts w:ascii="sans-serif" w:hAnsi="sans-serif"/>
                <w:color w:val="000000"/>
                <w:sz w:val="20"/>
              </w:rPr>
            </w:pPr>
            <w:r>
              <w:rPr>
                <w:rFonts w:ascii="sans-serif" w:hAnsi="sans-serif"/>
                <w:color w:val="000000"/>
                <w:sz w:val="20"/>
              </w:rPr>
              <w:t>618,620</w:t>
            </w:r>
          </w:p>
        </w:tc>
      </w:tr>
      <w:tr>
        <w:trPr/>
        <w:tc>
          <w:tcPr>
            <w:tcW w:w="4074" w:type="dxa"/>
            <w:tcBorders/>
            <w:tcMar>
              <w:top w:w="0" w:type="dxa"/>
              <w:left w:w="0" w:type="dxa"/>
              <w:bottom w:w="0" w:type="dxa"/>
              <w:right w:w="0" w:type="dxa"/>
            </w:tcMar>
            <w:vAlign w:val="center"/>
          </w:tcPr>
          <w:p>
            <w:pPr>
              <w:pStyle w:val="TableContents"/>
              <w:bidi w:val="0"/>
              <w:spacing w:before="120" w:after="283"/>
              <w:ind w:left="0" w:right="0" w:firstLine="83"/>
              <w:jc w:val="left"/>
              <w:rPr>
                <w:rFonts w:ascii="sans-serif" w:hAnsi="sans-serif"/>
                <w:color w:val="000000"/>
                <w:sz w:val="20"/>
              </w:rPr>
            </w:pPr>
            <w:r>
              <w:rPr>
                <w:rFonts w:ascii="sans-serif" w:hAnsi="sans-serif"/>
                <w:color w:val="000000"/>
                <w:sz w:val="20"/>
              </w:rPr>
              <w:t>Deferred income tax benefit [Update]</w:t>
            </w:r>
          </w:p>
        </w:tc>
        <w:tc>
          <w:tcPr>
            <w:tcW w:w="1500" w:type="dxa"/>
            <w:tcBorders>
              <w:bottom w:val="single" w:sz="4" w:space="0" w:color="000000"/>
            </w:tcBorders>
            <w:tcMar>
              <w:top w:w="0" w:type="dxa"/>
              <w:left w:w="0" w:type="dxa"/>
              <w:right w:w="0" w:type="dxa"/>
            </w:tcMar>
            <w:vAlign w:val="center"/>
          </w:tcPr>
          <w:p>
            <w:pPr>
              <w:pStyle w:val="TableContents"/>
              <w:bidi w:val="0"/>
              <w:spacing w:before="120" w:after="283"/>
              <w:jc w:val="right"/>
              <w:rPr>
                <w:rFonts w:ascii="sans-serif" w:hAnsi="sans-serif"/>
                <w:color w:val="000000"/>
                <w:sz w:val="20"/>
              </w:rPr>
            </w:pPr>
            <w:r>
              <w:rPr>
                <w:rFonts w:ascii="sans-serif" w:hAnsi="sans-serif"/>
                <w:color w:val="000000"/>
                <w:sz w:val="20"/>
              </w:rPr>
              <w:t>(814,875)</w:t>
            </w:r>
          </w:p>
        </w:tc>
        <w:tc>
          <w:tcPr>
            <w:tcW w:w="175" w:type="dxa"/>
            <w:tcBorders>
              <w:bottom w:val="single" w:sz="4" w:space="0" w:color="000000"/>
            </w:tcBorders>
            <w:tcMar>
              <w:top w:w="0" w:type="dxa"/>
              <w:left w:w="0" w:type="dxa"/>
              <w:right w:w="0" w:type="dxa"/>
            </w:tcMar>
            <w:vAlign w:val="center"/>
          </w:tcPr>
          <w:p>
            <w:pPr>
              <w:pStyle w:val="TableContents"/>
              <w:bidi w:val="0"/>
              <w:spacing w:before="120" w:after="283"/>
              <w:jc w:val="righ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120" w:after="283"/>
              <w:jc w:val="right"/>
              <w:rPr/>
            </w:pPr>
            <w:r>
              <w:rPr/>
              <w:t> </w:t>
            </w:r>
          </w:p>
        </w:tc>
        <w:tc>
          <w:tcPr>
            <w:tcW w:w="1817" w:type="dxa"/>
            <w:tcBorders>
              <w:bottom w:val="single" w:sz="4" w:space="0" w:color="000000"/>
            </w:tcBorders>
            <w:tcMar>
              <w:top w:w="0" w:type="dxa"/>
              <w:left w:w="0" w:type="dxa"/>
              <w:right w:w="0" w:type="dxa"/>
            </w:tcMar>
            <w:vAlign w:val="center"/>
          </w:tcPr>
          <w:p>
            <w:pPr>
              <w:pStyle w:val="TableContents"/>
              <w:bidi w:val="0"/>
              <w:spacing w:before="120" w:after="283"/>
              <w:ind w:left="0" w:right="0" w:firstLine="83"/>
              <w:jc w:val="right"/>
              <w:rPr>
                <w:rFonts w:ascii="sans-serif" w:hAnsi="sans-serif"/>
                <w:color w:val="000000"/>
                <w:sz w:val="20"/>
              </w:rPr>
            </w:pPr>
            <w:r>
              <w:rPr>
                <w:rFonts w:ascii="sans-serif" w:hAnsi="sans-serif"/>
                <w:color w:val="000000"/>
                <w:sz w:val="20"/>
              </w:rPr>
              <w:t>(814,875)</w:t>
            </w:r>
          </w:p>
        </w:tc>
      </w:tr>
      <w:tr>
        <w:trPr/>
        <w:tc>
          <w:tcPr>
            <w:tcW w:w="4074" w:type="dxa"/>
            <w:tcBorders/>
            <w:tcMar>
              <w:top w:w="0" w:type="dxa"/>
              <w:left w:w="0" w:type="dxa"/>
              <w:bottom w:w="0" w:type="dxa"/>
              <w:right w:w="0" w:type="dxa"/>
            </w:tcMar>
            <w:vAlign w:val="center"/>
          </w:tcPr>
          <w:p>
            <w:pPr>
              <w:pStyle w:val="TableContents"/>
              <w:bidi w:val="0"/>
              <w:spacing w:before="120" w:after="283"/>
              <w:ind w:left="0" w:right="0" w:firstLine="83"/>
              <w:jc w:val="left"/>
              <w:rPr>
                <w:rFonts w:ascii="sans-serif" w:hAnsi="sans-serif"/>
                <w:b/>
                <w:color w:val="000000"/>
                <w:sz w:val="20"/>
              </w:rPr>
            </w:pPr>
            <w:r>
              <w:rPr>
                <w:rFonts w:ascii="sans-serif" w:hAnsi="sans-serif"/>
                <w:b/>
                <w:color w:val="000000"/>
                <w:sz w:val="20"/>
              </w:rPr>
              <w:t>Total income tax expense (benefit)</w:t>
            </w:r>
          </w:p>
        </w:tc>
        <w:tc>
          <w:tcPr>
            <w:tcW w:w="1500" w:type="dxa"/>
            <w:tcBorders>
              <w:bottom w:val="double" w:sz="4" w:space="0" w:color="000000"/>
            </w:tcBorders>
            <w:tcMar>
              <w:top w:w="0" w:type="dxa"/>
              <w:left w:w="0" w:type="dxa"/>
              <w:right w:w="0" w:type="dxa"/>
            </w:tcMar>
            <w:vAlign w:val="center"/>
          </w:tcPr>
          <w:p>
            <w:pPr>
              <w:pStyle w:val="TableContents"/>
              <w:bidi w:val="0"/>
              <w:spacing w:before="120" w:after="283"/>
              <w:jc w:val="right"/>
              <w:rPr>
                <w:rFonts w:ascii="sans-serif" w:hAnsi="sans-serif"/>
                <w:b/>
                <w:color w:val="000000"/>
                <w:sz w:val="20"/>
              </w:rPr>
            </w:pPr>
            <w:r>
              <w:rPr>
                <w:rFonts w:ascii="sans-serif" w:hAnsi="sans-serif"/>
                <w:b/>
                <w:color w:val="000000"/>
                <w:sz w:val="20"/>
              </w:rPr>
              <w:t>$ 703,291</w:t>
            </w:r>
          </w:p>
        </w:tc>
        <w:tc>
          <w:tcPr>
            <w:tcW w:w="175" w:type="dxa"/>
            <w:tcBorders>
              <w:bottom w:val="double" w:sz="4" w:space="0" w:color="000000"/>
            </w:tcBorders>
            <w:tcMar>
              <w:top w:w="0" w:type="dxa"/>
              <w:left w:w="0" w:type="dxa"/>
              <w:right w:w="0" w:type="dxa"/>
            </w:tcMar>
            <w:vAlign w:val="center"/>
          </w:tcPr>
          <w:p>
            <w:pPr>
              <w:pStyle w:val="TableContents"/>
              <w:bidi w:val="0"/>
              <w:spacing w:before="120" w:after="283"/>
              <w:jc w:val="right"/>
              <w:rPr/>
            </w:pPr>
            <w:r>
              <w:rPr/>
              <w:t> </w:t>
            </w:r>
          </w:p>
        </w:tc>
        <w:tc>
          <w:tcPr>
            <w:tcW w:w="175" w:type="dxa"/>
            <w:tcBorders>
              <w:bottom w:val="double" w:sz="4" w:space="0" w:color="000000"/>
            </w:tcBorders>
            <w:tcMar>
              <w:top w:w="0" w:type="dxa"/>
              <w:left w:w="0" w:type="dxa"/>
              <w:right w:w="0" w:type="dxa"/>
            </w:tcMar>
            <w:vAlign w:val="center"/>
          </w:tcPr>
          <w:p>
            <w:pPr>
              <w:pStyle w:val="TableContents"/>
              <w:bidi w:val="0"/>
              <w:spacing w:before="120" w:after="283"/>
              <w:jc w:val="right"/>
              <w:rPr/>
            </w:pPr>
            <w:r>
              <w:rPr/>
              <w:t> </w:t>
            </w:r>
          </w:p>
        </w:tc>
        <w:tc>
          <w:tcPr>
            <w:tcW w:w="1817" w:type="dxa"/>
            <w:tcBorders>
              <w:bottom w:val="double" w:sz="4" w:space="0" w:color="000000"/>
            </w:tcBorders>
            <w:tcMar>
              <w:top w:w="0" w:type="dxa"/>
              <w:left w:w="0" w:type="dxa"/>
              <w:right w:w="0" w:type="dxa"/>
            </w:tcMar>
            <w:vAlign w:val="center"/>
          </w:tcPr>
          <w:p>
            <w:pPr>
              <w:pStyle w:val="TableContents"/>
              <w:bidi w:val="0"/>
              <w:spacing w:before="120" w:after="283"/>
              <w:ind w:left="0" w:right="0" w:firstLine="83"/>
              <w:jc w:val="right"/>
              <w:rPr>
                <w:rFonts w:ascii="sans-serif" w:hAnsi="sans-serif"/>
                <w:b/>
                <w:color w:val="000000"/>
                <w:sz w:val="20"/>
              </w:rPr>
            </w:pPr>
            <w:r>
              <w:rPr>
                <w:rFonts w:ascii="sans-serif" w:hAnsi="sans-serif"/>
                <w:b/>
                <w:color w:val="000000"/>
                <w:sz w:val="20"/>
              </w:rPr>
              <w:t>$ (196,255)</w:t>
            </w:r>
          </w:p>
        </w:tc>
      </w:tr>
      <w:tr>
        <w:trPr/>
        <w:tc>
          <w:tcPr>
            <w:tcW w:w="4074" w:type="dxa"/>
            <w:tcBorders/>
            <w:tcMar>
              <w:top w:w="0" w:type="dxa"/>
              <w:left w:w="0" w:type="dxa"/>
              <w:bottom w:w="0" w:type="dxa"/>
              <w:right w:w="0" w:type="dxa"/>
            </w:tcMar>
            <w:vAlign w:val="center"/>
          </w:tcPr>
          <w:p>
            <w:pPr>
              <w:pStyle w:val="TableContents"/>
              <w:bidi w:val="0"/>
              <w:spacing w:before="120" w:after="283"/>
              <w:ind w:left="0" w:right="0" w:firstLine="83"/>
              <w:jc w:val="left"/>
              <w:rPr>
                <w:rFonts w:ascii="sans-serif" w:hAnsi="sans-serif"/>
                <w:b/>
                <w:color w:val="000000"/>
                <w:sz w:val="20"/>
              </w:rPr>
            </w:pPr>
            <w:r>
              <w:rPr>
                <w:rFonts w:ascii="sans-serif" w:hAnsi="sans-serif"/>
                <w:b/>
                <w:color w:val="000000"/>
                <w:sz w:val="20"/>
              </w:rPr>
              <w:t>Effective tax rate</w:t>
            </w:r>
          </w:p>
        </w:tc>
        <w:tc>
          <w:tcPr>
            <w:tcW w:w="1500" w:type="dxa"/>
            <w:tcBorders/>
            <w:tcMar>
              <w:top w:w="0" w:type="dxa"/>
              <w:left w:w="0" w:type="dxa"/>
              <w:bottom w:w="0" w:type="dxa"/>
              <w:right w:w="0" w:type="dxa"/>
            </w:tcMar>
            <w:vAlign w:val="center"/>
          </w:tcPr>
          <w:p>
            <w:pPr>
              <w:pStyle w:val="TableContents"/>
              <w:bidi w:val="0"/>
              <w:spacing w:before="120" w:after="283"/>
              <w:jc w:val="right"/>
              <w:rPr>
                <w:rFonts w:ascii="sans-serif" w:hAnsi="sans-serif"/>
                <w:b/>
                <w:color w:val="000000"/>
                <w:sz w:val="20"/>
              </w:rPr>
            </w:pPr>
            <w:r>
              <w:rPr>
                <w:rFonts w:ascii="sans-serif" w:hAnsi="sans-serif"/>
                <w:b/>
                <w:color w:val="000000"/>
                <w:sz w:val="20"/>
              </w:rPr>
              <w:t>27.2%</w:t>
            </w:r>
          </w:p>
        </w:tc>
        <w:tc>
          <w:tcPr>
            <w:tcW w:w="175" w:type="dxa"/>
            <w:tcBorders/>
            <w:tcMar>
              <w:top w:w="0" w:type="dxa"/>
              <w:left w:w="0" w:type="dxa"/>
              <w:bottom w:w="0" w:type="dxa"/>
              <w:right w:w="0" w:type="dxa"/>
            </w:tcMar>
            <w:vAlign w:val="center"/>
          </w:tcPr>
          <w:p>
            <w:pPr>
              <w:pStyle w:val="TableContents"/>
              <w:bidi w:val="0"/>
              <w:spacing w:before="120" w:after="283"/>
              <w:jc w:val="right"/>
              <w:rPr/>
            </w:pPr>
            <w:r>
              <w:rPr/>
              <w:t> </w:t>
            </w:r>
          </w:p>
        </w:tc>
        <w:tc>
          <w:tcPr>
            <w:tcW w:w="175" w:type="dxa"/>
            <w:tcBorders/>
            <w:tcMar>
              <w:top w:w="0" w:type="dxa"/>
              <w:left w:w="0" w:type="dxa"/>
              <w:bottom w:w="0" w:type="dxa"/>
              <w:right w:w="0" w:type="dxa"/>
            </w:tcMar>
            <w:vAlign w:val="center"/>
          </w:tcPr>
          <w:p>
            <w:pPr>
              <w:pStyle w:val="TableContents"/>
              <w:bidi w:val="0"/>
              <w:spacing w:before="120" w:after="283"/>
              <w:jc w:val="right"/>
              <w:rPr/>
            </w:pPr>
            <w:r>
              <w:rPr/>
              <w:t> </w:t>
            </w:r>
          </w:p>
        </w:tc>
        <w:tc>
          <w:tcPr>
            <w:tcW w:w="1817" w:type="dxa"/>
            <w:tcBorders/>
            <w:tcMar>
              <w:top w:w="0" w:type="dxa"/>
              <w:left w:w="0" w:type="dxa"/>
              <w:bottom w:w="0" w:type="dxa"/>
              <w:right w:w="0" w:type="dxa"/>
            </w:tcMar>
            <w:vAlign w:val="center"/>
          </w:tcPr>
          <w:p>
            <w:pPr>
              <w:pStyle w:val="TableContents"/>
              <w:bidi w:val="0"/>
              <w:spacing w:before="120" w:after="283"/>
              <w:jc w:val="right"/>
              <w:rPr>
                <w:rFonts w:ascii="sans-serif" w:hAnsi="sans-serif"/>
                <w:b/>
                <w:color w:val="000000"/>
                <w:sz w:val="20"/>
              </w:rPr>
            </w:pPr>
            <w:r>
              <w:rPr>
                <w:rFonts w:ascii="sans-serif" w:hAnsi="sans-serif"/>
                <w:b/>
                <w:color w:val="000000"/>
                <w:sz w:val="20"/>
              </w:rPr>
              <w:t>23.1%</w:t>
            </w:r>
          </w:p>
        </w:tc>
      </w:tr>
    </w:tbl>
    <w:p>
      <w:pPr>
        <w:pStyle w:val="TextBody"/>
        <w:bidi w:val="0"/>
        <w:spacing w:before="120" w:after="283"/>
        <w:jc w:val="both"/>
        <w:rPr>
          <w:rFonts w:ascii="sans-serif" w:hAnsi="sans-serif"/>
          <w:color w:val="000000"/>
          <w:sz w:val="20"/>
        </w:rPr>
      </w:pPr>
      <w:r>
        <w:rPr>
          <w:rFonts w:ascii="sans-serif" w:hAnsi="sans-serif"/>
          <w:color w:val="000000"/>
          <w:sz w:val="20"/>
        </w:rPr>
        <w:t>The Company's effective tax rate was 27.2% for the three months ended March 31, 2026, compared to 23.1% for the three months ended March 31, 2025. Because the three months ended March 31, 2025 reflected a loss before income taxes, the rate for that period represents a tax benefit, and a direct period-over-period comparison of the two rates is not meaningful. The Company's effective tax rate differs from the U.S. federal statutory rate of 21% for each period presented primarily as a result of state and local income taxes, net of the related federal benefit and the effect of the Company's Canadian operations, which are subject to a combined Canadian federal and Ontario provincial statutory rate of approximately 26.5%.</w:t>
      </w:r>
    </w:p>
    <w:p>
      <w:pPr>
        <w:pStyle w:val="TextBody"/>
        <w:bidi w:val="0"/>
        <w:spacing w:before="120" w:after="283"/>
        <w:jc w:val="both"/>
        <w:rPr>
          <w:rFonts w:ascii="Times New Roman" w:hAnsi="Times New Roman"/>
          <w:sz w:val="20"/>
        </w:rPr>
      </w:pPr>
      <w:r>
        <w:rPr>
          <w:rFonts w:ascii="sans-serif" w:hAnsi="sans-serif"/>
          <w:color w:val="000000"/>
          <w:sz w:val="20"/>
        </w:rPr>
        <w:t>The change in the Company's effective tax rate for the three months ended March 31, 2026 as compared with the effective tax rate for the year ended December 31, 2025 of 23.8% is primarily attributable to the loss reported over the same period. There have been no significant variations in the customary relationship between income tax expense and income (loss) before income taxes for the interim periods presented.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sans-serif" w:hAnsi="sans-serif"/>
          <w:color w:val="000000"/>
          <w:sz w:val="20"/>
        </w:rPr>
        <w:t>The Company assesses the realizability of its deferred tax assets at each interim reporting date, weighing all available positive and negative evidence, including the scheduled reversal of existing taxable temporary differences, projected</w:t>
      </w:r>
      <w:r>
        <w:rPr>
          <w:rFonts w:ascii="Times New Roman" w:hAnsi="Times New Roman"/>
          <w:color w:val="000000"/>
          <w:sz w:val="20"/>
        </w:rPr>
        <w:t xml:space="preserve">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sans-serif" w:hAnsi="sans-serif"/>
          <w:color w:val="000000"/>
          <w:sz w:val="20"/>
        </w:rPr>
        <w:t>future taxable income, the carryforward periods available, and available tax planning strategies. There is no change to the valuation allowance assertion recorded at the fiscal year ended December 31, 2025.</w:t>
      </w:r>
      <w:r>
        <w:rPr>
          <w:rFonts w:ascii="Times New Roman" w:hAnsi="Times New Roman"/>
          <w:color w:val="000000"/>
          <w:sz w:val="20"/>
        </w:rPr>
        <w:t xml:space="preserve"> </w:t>
      </w:r>
    </w:p>
    <w:p>
      <w:pPr>
        <w:pStyle w:val="TextBody"/>
        <w:bidi w:val="0"/>
        <w:spacing w:before="120" w:after="283"/>
        <w:jc w:val="both"/>
        <w:rPr>
          <w:rFonts w:ascii="sans-serif" w:hAnsi="sans-serif"/>
          <w:color w:val="000000"/>
          <w:sz w:val="20"/>
        </w:rPr>
      </w:pPr>
      <w:r>
        <w:rPr>
          <w:rFonts w:ascii="sans-serif" w:hAnsi="sans-serif"/>
          <w:color w:val="000000"/>
          <w:sz w:val="20"/>
        </w:rPr>
        <w:t>Net deferred tax liabilities were $32,097,552 and $32,918,499 as of March 31, 2026 and December 31, 2025, respectively, a decrease of $820,947 during the three months ended March 31, 2026. The net deferred tax liability relates primarily to differences between the financial reporting and income tax bases of the Company's intangible assets. The decrease during the period resulted primarily from the reversal of these taxable temporary differences through amortization for financial reporting purposes and from foreign currency translation on the Canadian component of the balance of $814,875 and $6,072, respectively. There have been no material changes to the components of the Company's net deferred tax assets and liabilities, or to the components of the income tax provision and the reconciliation of the provision to the U.S. federal statutory rate, from those disclosed in Note 9 to the Company's audited combined and consolidated financial statements as of and for the year ended December 31, 2025. Consistent with ASC 270 and Rule 10-01(a)(5) of Regulation S-X, the annual tabular rate reconciliation and the components of deferred tax assets and liabilities are not repeated in these interim financial statements.</w:t>
      </w:r>
    </w:p>
    <w:p>
      <w:pPr>
        <w:pStyle w:val="TextBody"/>
        <w:bidi w:val="0"/>
        <w:spacing w:before="120" w:after="283"/>
        <w:jc w:val="both"/>
        <w:rPr>
          <w:rFonts w:ascii="Times New Roman" w:hAnsi="Times New Roman"/>
          <w:sz w:val="20"/>
        </w:rPr>
      </w:pPr>
      <w:r>
        <w:rPr>
          <w:rFonts w:ascii="sans-serif" w:hAnsi="sans-serif"/>
          <w:color w:val="000000"/>
          <w:sz w:val="20"/>
        </w:rPr>
        <w:t>With few exceptions, the Company is no longer subject to U.S. federal or state and local income tax examinations for years before 2015, and is no longer subject to income tax examinations by Canadian tax authorities for years before 2018.</w:t>
      </w:r>
      <w:r>
        <w:rPr>
          <w:rFonts w:ascii="Times New Roman" w:hAnsi="Times New Roman"/>
          <w:color w:val="000000"/>
          <w:sz w:val="20"/>
        </w:rPr>
        <w:t xml:space="preserve"> </w:t>
      </w:r>
    </w:p>
    <w:p>
      <w:pPr>
        <w:pStyle w:val="TextBody"/>
        <w:bidi w:val="0"/>
        <w:spacing w:before="120" w:after="283"/>
        <w:jc w:val="both"/>
        <w:rPr>
          <w:rFonts w:ascii="sans-serif" w:hAnsi="sans-serif"/>
          <w:color w:val="000000"/>
          <w:sz w:val="20"/>
        </w:rPr>
      </w:pPr>
      <w:r>
        <w:rPr>
          <w:rFonts w:ascii="sans-serif" w:hAnsi="sans-serif"/>
          <w:color w:val="000000"/>
          <w:sz w:val="20"/>
        </w:rPr>
        <w:t>The Company's U.S. operations are included in the consolidated U.S. federal income tax return of Hearst Communications, Inc. (“Seller”) and in certain combined and consolidated state and local income tax returns filed by Seller. The Company's Canadian operations file separate income tax returns in Canada. Income tax expense reflected in these condensed combined and consolidated financial statements has been determined for the Company's U.S. operations using the separate return method, under which the Company computes current and deferred income taxes as if it were a separate taxpayer filing its own returns. Current income taxes payable or receivable with respect to those operations are settled with Seller under a tax-sharing agreement, pursuant to which the Company is generally charged for the amount of federal, state, and local income tax it would have paid, or credited for the benefit it would have received, on a stand-alone basis, with the resulting amounts settled in cash. There were no changes during the three months ended March 31, 2026 or 2025 in the method by which the consolidated amounts of current and deferred income tax expense are allocated to the Company, or in the method of determining the related balances due to or from affiliates.</w:t>
      </w:r>
    </w:p>
    <w:p>
      <w:pPr>
        <w:pStyle w:val="TextBody"/>
        <w:bidi w:val="0"/>
        <w:spacing w:before="120" w:after="283"/>
        <w:jc w:val="both"/>
        <w:rPr>
          <w:rFonts w:ascii="sans-serif" w:hAnsi="sans-serif"/>
          <w:color w:val="000000"/>
          <w:sz w:val="20"/>
        </w:rPr>
      </w:pPr>
      <w:r>
        <w:rPr>
          <w:rFonts w:ascii="sans-serif" w:hAnsi="sans-serif"/>
          <w:color w:val="000000"/>
          <w:sz w:val="20"/>
        </w:rPr>
        <w:t>Tax-related balances due from and to Hearst and its affiliates consisted of an income tax receivable of $1,148,060 and $1,388,327 as of March 31, 2026 and December 31, 2025, respectively. See the Related-Party Transactions note for additional information regarding the Company's transactions with Hearst.</w:t>
      </w:r>
    </w:p>
    <w:p>
      <w:pPr>
        <w:pStyle w:val="TextBody"/>
        <w:bidi w:val="0"/>
        <w:spacing w:before="120" w:after="283"/>
        <w:jc w:val="left"/>
        <w:rPr>
          <w:rFonts w:ascii="sans-serif" w:hAnsi="sans-serif"/>
          <w:b/>
          <w:color w:val="000000"/>
          <w:sz w:val="20"/>
        </w:rPr>
      </w:pPr>
      <w:r>
        <w:rPr>
          <w:rFonts w:ascii="sans-serif" w:hAnsi="sans-serif"/>
          <w:b/>
          <w:color w:val="000000"/>
          <w:sz w:val="20"/>
        </w:rPr>
        <w:t>10.</w:t>
      </w:r>
    </w:p>
    <w:p>
      <w:pPr>
        <w:pStyle w:val="TextBody"/>
        <w:bidi w:val="0"/>
        <w:spacing w:before="120" w:after="283"/>
        <w:jc w:val="left"/>
        <w:rPr>
          <w:rFonts w:ascii="sans-serif" w:hAnsi="sans-serif"/>
          <w:b/>
          <w:color w:val="000000"/>
          <w:sz w:val="20"/>
        </w:rPr>
      </w:pPr>
      <w:r>
        <w:rPr>
          <w:rFonts w:ascii="sans-serif" w:hAnsi="sans-serif"/>
          <w:b/>
          <w:color w:val="000000"/>
          <w:sz w:val="20"/>
        </w:rPr>
        <w:t>RELATED-PARTY TRANSACTIONS</w:t>
      </w:r>
    </w:p>
    <w:p>
      <w:pPr>
        <w:pStyle w:val="TextBody"/>
        <w:bidi w:val="0"/>
        <w:spacing w:before="120" w:after="283"/>
        <w:jc w:val="both"/>
        <w:rPr>
          <w:rFonts w:ascii="sans-serif" w:hAnsi="sans-serif"/>
          <w:color w:val="000000"/>
          <w:sz w:val="20"/>
        </w:rPr>
      </w:pPr>
      <w:r>
        <w:rPr>
          <w:rFonts w:ascii="sans-serif" w:hAnsi="sans-serif"/>
          <w:color w:val="000000"/>
          <w:sz w:val="20"/>
        </w:rPr>
        <w:t>The Company enters into transactions with Hearst Communications, Inc. ("Hearst") and its affiliates in the ordinary course of business. These transactions include financing arrangements, allocations of corporate and administrative expenses, insurance costs, tax-sharing arrangements, and reimbursement of expenditures paid by Hearst on behalf of the Company.</w:t>
      </w:r>
    </w:p>
    <w:p>
      <w:pPr>
        <w:pStyle w:val="TextBody"/>
        <w:bidi w:val="0"/>
        <w:spacing w:before="120" w:after="283"/>
        <w:jc w:val="both"/>
        <w:rPr>
          <w:rFonts w:ascii="sans-serif" w:hAnsi="sans-serif"/>
          <w:color w:val="000000"/>
          <w:sz w:val="20"/>
        </w:rPr>
      </w:pPr>
      <w:r>
        <w:rPr>
          <w:rFonts w:ascii="sans-serif" w:hAnsi="sans-serif"/>
          <w:color w:val="000000"/>
          <w:sz w:val="20"/>
        </w:rPr>
        <w:t>Hearst provides certain corporate, administrative, management, insurance, treasury, legal, information technology, and other shared services to the Company. Charges for these services are allocated to the Company pursuant to intercompany arrangements and allocation methodologies established by Hearst. Management believes the allocation methodologies are reasonable and reflect the costs of services provided.</w:t>
      </w:r>
    </w:p>
    <w:p>
      <w:pPr>
        <w:pStyle w:val="TextBody"/>
        <w:bidi w:val="0"/>
        <w:spacing w:before="120" w:after="283"/>
        <w:jc w:val="both"/>
        <w:rPr>
          <w:rFonts w:ascii="sans-serif" w:hAnsi="sans-serif"/>
          <w:color w:val="000000"/>
          <w:sz w:val="20"/>
        </w:rPr>
      </w:pPr>
      <w:r>
        <w:rPr>
          <w:rFonts w:ascii="sans-serif" w:hAnsi="sans-serif"/>
          <w:color w:val="000000"/>
          <w:sz w:val="20"/>
        </w:rPr>
        <w:t>The Company is included in Hearst's combined and consolidated federal income tax return and certain state and local income tax filings. Income tax expense is allocated to the Company pursuant to a tax-sharing agreement with Hearst.</w:t>
      </w:r>
    </w:p>
    <w:p>
      <w:pPr>
        <w:pStyle w:val="TextBody"/>
        <w:bidi w:val="0"/>
        <w:spacing w:before="120" w:after="283"/>
        <w:jc w:val="both"/>
        <w:rPr>
          <w:rFonts w:ascii="sans-serif" w:hAnsi="sans-serif"/>
          <w:color w:val="000000"/>
          <w:sz w:val="20"/>
        </w:rPr>
      </w:pPr>
      <w:r>
        <w:rPr>
          <w:rFonts w:ascii="sans-serif" w:hAnsi="sans-serif"/>
          <w:color w:val="000000"/>
          <w:sz w:val="20"/>
        </w:rPr>
        <w:t>The Company's disclosures required by ASC 740-10-50-17 as a member of a group that files a consolidated income tax return, including the principal provisions of the method of allocating current and deferred income tax expense and the tax-related balances due to and from affiliates, are presented in Note 9.</w:t>
      </w:r>
    </w:p>
    <w:p>
      <w:pPr>
        <w:pStyle w:val="TextBody"/>
        <w:bidi w:val="0"/>
        <w:spacing w:before="120" w:after="283"/>
        <w:jc w:val="both"/>
        <w:rPr>
          <w:rFonts w:ascii="Times New Roman" w:hAnsi="Times New Roman"/>
          <w:sz w:val="20"/>
        </w:rPr>
      </w:pPr>
      <w:r>
        <w:rPr>
          <w:rFonts w:ascii="sans-serif" w:hAnsi="sans-serif"/>
          <w:color w:val="000000"/>
          <w:sz w:val="20"/>
        </w:rPr>
        <w:t>Expenses allocated to the Company for shared services, insurance, management fees, and tax-related services included in General and administrative in the combined and consolidated statements of operations totaled $3,412,112 and $2,133,098, for the three months ended March 31, 2026 and 2025, respectively.</w:t>
      </w:r>
      <w:r>
        <w:rPr>
          <w:rFonts w:ascii="Times New Roman" w:hAnsi="Times New Roman"/>
          <w:color w:val="000000"/>
          <w:sz w:val="20"/>
        </w:rPr>
        <w:t xml:space="preserve"> </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sans-serif" w:hAnsi="sans-serif"/>
          <w:color w:val="000000"/>
          <w:sz w:val="20"/>
        </w:rPr>
      </w:pPr>
      <w:r>
        <w:rPr>
          <w:rFonts w:ascii="sans-serif" w:hAnsi="sans-serif"/>
          <w:color w:val="000000"/>
          <w:sz w:val="20"/>
        </w:rPr>
        <w:t>During the three months ended March 31, 2026 and 2025, the Company made principal repayments of $0 and $535,187, respectively. Interest expense recorded in the combined and consolidated statements of operations related to the note was $124,572 and $108,017 for the three months ended March 31, 2026 and 2025, respectively.</w:t>
      </w:r>
    </w:p>
    <w:p>
      <w:pPr>
        <w:pStyle w:val="TextBody"/>
        <w:bidi w:val="0"/>
        <w:spacing w:before="120" w:after="283"/>
        <w:jc w:val="left"/>
        <w:rPr>
          <w:rFonts w:ascii="sans-serif" w:hAnsi="sans-serif"/>
          <w:b/>
          <w:color w:val="000000"/>
          <w:sz w:val="20"/>
        </w:rPr>
      </w:pPr>
      <w:r>
        <w:rPr>
          <w:rFonts w:ascii="sans-serif" w:hAnsi="sans-serif"/>
          <w:b/>
          <w:color w:val="000000"/>
          <w:sz w:val="20"/>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sans-serif" w:hAnsi="sans-serif"/>
          <w:b/>
          <w:color w:val="000000"/>
          <w:sz w:val="20"/>
        </w:rPr>
      </w:pPr>
      <w:bookmarkStart w:id="24" w:name="x1__risks_and_concentrations"/>
      <w:bookmarkEnd w:id="24"/>
      <w:r>
        <w:rPr>
          <w:rFonts w:ascii="sans-serif" w:hAnsi="sans-serif"/>
          <w:b/>
          <w:color w:val="000000"/>
          <w:sz w:val="20"/>
        </w:rPr>
        <w:t>RISKS AND CONCENTRATIONS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sans-serif" w:hAnsi="sans-serif"/>
          <w:color w:val="000000"/>
          <w:sz w:val="20"/>
        </w:rPr>
      </w:pPr>
      <w:r>
        <w:rPr>
          <w:rFonts w:ascii="sans-serif" w:hAnsi="sans-serif"/>
          <w:color w:val="000000"/>
          <w:sz w:val="20"/>
        </w:rPr>
        <w:t>The Company is potentially subject to concentration of credit risk primarily through its accounts receivable. The Company performs ongoing credit evaluations of its customers and maintains allowances for expected credit losses. The Company generally does not require collateral. Credit risk is mitigated by the large and diverse nature of the Company's customer base.</w:t>
      </w:r>
    </w:p>
    <w:p>
      <w:pPr>
        <w:pStyle w:val="TextBody"/>
        <w:bidi w:val="0"/>
        <w:spacing w:before="120" w:after="283"/>
        <w:jc w:val="both"/>
        <w:rPr>
          <w:rFonts w:ascii="sans-serif" w:hAnsi="sans-serif"/>
          <w:color w:val="000000"/>
          <w:sz w:val="20"/>
        </w:rPr>
      </w:pPr>
      <w:r>
        <w:rPr>
          <w:rFonts w:ascii="sans-serif" w:hAnsi="sans-serif"/>
          <w:color w:val="000000"/>
          <w:sz w:val="20"/>
        </w:rPr>
        <w:t>No customer represented more than 10% of total accounts receivable as of both March 31, 2026 and December 31, 2025. One customer represented more than 10% of the Company's total revenue for the three months ended March 31, 2026, with revenue from this customer totaling $8,722,510. No customer represented more than 10% of the Company's total revenue for the three months ended March 31, 2025.</w:t>
      </w:r>
    </w:p>
    <w:p>
      <w:pPr>
        <w:pStyle w:val="TextBody"/>
        <w:bidi w:val="0"/>
        <w:spacing w:before="120" w:after="283"/>
        <w:jc w:val="left"/>
        <w:rPr>
          <w:rFonts w:ascii="sans-serif" w:hAnsi="sans-serif"/>
          <w:b/>
          <w:color w:val="000000"/>
          <w:sz w:val="20"/>
        </w:rPr>
      </w:pPr>
      <w:r>
        <w:rPr>
          <w:rFonts w:ascii="sans-serif" w:hAnsi="sans-serif"/>
          <w:b/>
          <w:color w:val="000000"/>
          <w:sz w:val="20"/>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sans-serif" w:hAnsi="sans-serif"/>
          <w:b/>
          <w:color w:val="000000"/>
          <w:sz w:val="20"/>
        </w:rPr>
      </w:pPr>
      <w:bookmarkStart w:id="25" w:name="x2__subsequent_events"/>
      <w:bookmarkEnd w:id="25"/>
      <w:r>
        <w:rPr>
          <w:rFonts w:ascii="sans-serif" w:hAnsi="sans-serif"/>
          <w:b/>
          <w:color w:val="000000"/>
          <w:sz w:val="20"/>
        </w:rPr>
        <w:t>SUBSEQUENT EVENTS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sans-serif" w:hAnsi="sans-serif"/>
          <w:color w:val="000000"/>
          <w:sz w:val="20"/>
        </w:rPr>
      </w:pPr>
      <w:r>
        <w:rPr>
          <w:rFonts w:ascii="sans-serif" w:hAnsi="sans-serif"/>
          <w:color w:val="000000"/>
          <w:sz w:val="20"/>
        </w:rPr>
        <w:t>On March 30, 2026, the Company's parent entered into a definitive agreement pursuant to which the Company would be acquired by REPAY Holdings Corporation ("REPAY"). This agreement was entered into during the three months ended March 31, 2026, prior to the balance sheet date. The acquisition closed on June 1, 2026, subsequent to the balance sheet date, and constitutes a subsequent event with respect to these interim financial statements. Management evaluated subsequent events through August 14, 2026, the date these condensed combined and consolidated financial statements were available to be issued.</w:t>
      </w:r>
    </w:p>
    <w:p>
      <w:pPr>
        <w:pStyle w:val="TextBody"/>
        <w:bidi w:val="0"/>
        <w:jc w:val="left"/>
        <w:rPr/>
      </w:pPr>
      <w:r>
        <w:rPr/>
        <w:t> </w:t>
      </w:r>
    </w:p>
    <w:p>
      <w:pPr>
        <w:pStyle w:val="TextBody"/>
        <w:bidi w:val="0"/>
        <w:spacing w:before="14" w:after="283"/>
        <w:jc w:val="center"/>
        <w:rPr>
          <w:rFonts w:ascii="Arial" w:hAnsi="Arial"/>
          <w:color w:val="000000"/>
          <w:sz w:val="16"/>
        </w:rPr>
      </w:pPr>
      <w:r>
        <w:rPr>
          <w:rFonts w:ascii="Arial" w:hAnsi="Arial"/>
          <w:color w:val="000000"/>
          <w:sz w:val="16"/>
        </w:rPr>
        <w:t>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rpay-ex99_3.htm"/>
      <w:bookmarkStart w:id="27" w:name="ksrpayex99_3"/>
      <w:bookmarkEnd w:id="26"/>
      <w:bookmarkEnd w:id="27"/>
      <w:r>
        <w:rPr>
          <w:rFonts w:ascii="Times New Roman" w:hAnsi="Times New Roman"/>
          <w:b/>
          <w:color w:val="000000"/>
          <w:sz w:val="20"/>
        </w:rPr>
        <w:t>Exhibit 99.3</w:t>
      </w:r>
      <w:r>
        <w:br w:type="page"/>
      </w:r>
    </w:p>
    <w:p>
      <w:pPr>
        <w:pStyle w:val="Heading1"/>
        <w:bidi w:val="0"/>
        <w:spacing w:before="0" w:after="240"/>
        <w:jc w:val="center"/>
        <w:rPr>
          <w:rFonts w:ascii="Times New Roman" w:hAnsi="Times New Roman"/>
          <w:color w:val="000000"/>
          <w:sz w:val="20"/>
        </w:rPr>
      </w:pPr>
      <w:r>
        <w:rPr>
          <w:rFonts w:ascii="Times New Roman" w:hAnsi="Times New Roman"/>
          <w:color w:val="000000"/>
          <w:sz w:val="20"/>
        </w:rPr>
        <w:t>UNAUDITED PRO FORMA CONDENSED COMBINED FINANCIAL INFORMATION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On March 30, 2026, Repay Holdings Corporation (“the Company” or “REPAY”) entered into a Stock Purchase Agreement (the “KUBRA Purchase Agreement”) with Hearst KUBRA Holdings, Inc., a Delaware corporation, KUBRA Holdings, Inc., a Delaware corporation (“KUBRA US”), and KUBRA Data Transfer Ltd., an Ontario corporation (“KUBRA Canada” and, together with KUBRA US, “KUBRA”), pursuant to which the Company agreed to acquire all of the issued and outstanding capital stock of KUBRA (the “KUBRA Acquisition”). The KUBRA Acquisition closed on June 1, 2026.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Under the terms of the KUBRA Purchase Agreement, REPAY paid aggregate cash consideration of approximately $354.1 million at closing, subject to customary post-closing adjustments. The Company financed the KUBRA Acquisition through a combination of cash on hand and borrowings under a new term loan facility in an aggregate principal amount of $500 million.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following unaudited pro forma condensed combined balance sheet as of March 31, 2026 combines the historical condensed consolidated balance sheet of REPAY as of March 31, 2026 and the historical condensed combined and consolidated balance sheet of KUBRA as of March 31, 2026, giving effect to the KUBRA Acquisition as described below on a pro forma basis as if it had been completed on March 31, 2026. The following unaudited pro forma condensed combined statements of operations for the three months ended March 31, 2026 and the year ended December 31, 2025 combine the historical condensed consolidated statement of operations of REPAY for the three months ended March 31, 2026 and the year ended December 31, 2025 with the historical condensed combined and consolidated statement of operations of KUBRA for the same periods, giving effect to the KUBRA Acquisition as described on a pro forma basis as if it had been completed on January 1, 2025. The unaudited pro forma condensed combined financial information has been prepared in accordance with Article 11 of Regulation S-X.</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unaudited pro forma condensed combined financial information should be read in conjunction with the accompanying notes and (i) the historical audited consolidated financial statements of REPAY as of and for the year ended December 31, 2025 included in REPAY’s Annual Report on Form 10-K, (ii) the historical unaudited condensed consolidated financial statements of REPAY as of and for the three months ended March 31, 2026 included in REPAY’s Quarterly Report on Form 10-Q, and (iii) the historical financial statements of KUBRA and accompanying notes, which are included elsewhere in this Current Report on Form 8-K.</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historical financial information has been adjusted in the unaudited pro forma condensed combined financial statements to give effect to pro forma events that are related and/or directly attributable to the KUBRA Acquisition. The adjustments presented in the unaudited pro forma condensed combined financial statements have been identified and presented to provide relevant information necessary for an accurate understanding of the Company upon completion of the KUBRA Acquisition. The pro forma adjustments set forth in the unaudited pro forma condensed combined financial statements and described in the notes thereto reflect, among other things, the completion of the KUBRA Acquisition on the dates indicated, as further described in Note 5.</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The unaudited pro forma condensed combined financial statements were prepared using the acquisition method of accounting under the provisions of </w:t>
      </w:r>
      <w:r>
        <w:rPr>
          <w:rFonts w:ascii="Times New Roman" w:hAnsi="Times New Roman"/>
          <w:i/>
          <w:color w:val="000000"/>
          <w:sz w:val="20"/>
        </w:rPr>
        <w:t>ASC 805, Business Combinations</w:t>
      </w:r>
      <w:r>
        <w:rPr>
          <w:rFonts w:ascii="Times New Roman" w:hAnsi="Times New Roman"/>
          <w:color w:val="000000"/>
          <w:sz w:val="20"/>
        </w:rPr>
        <w:t xml:space="preserve"> (“ASC 805”) on the basis of REPAY as the accounting acquirer. Accordingly, the purchase price is allocated to the underlying assets acquired and liabilities assumed based on their estimated fair values as of the closing of the KUBRA Acquisition, with any excess purchase price allocated to goodwill. REPAY has completed a preliminary valuation necessary to estimate the fair value of the assets acquired and the liabilities assumed and, accordingly, the amounts recorded to reflect the assets acquired and liabilities assumed at fair value reflect the best estimates of REPAY based on the information currently available and are subject to change once additional analyses, including a transfer pricing study, are completed within the measurement period.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unaudited pro forma condensed combined financial information is for illustrative purposes only. You should not rely on the unaudited pro forma condensed combined financial information as being indicative of the historical results that would have been achieved had the KUBRA Acquisition occurred on the dates indicated or the future results that the Company will experience. The unaudited pro forma condensed combined financial information is not necessarily indicative of results for periods after March 31, 2026.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addition, the pro forma adjustments are based on the information currently available and the assumptions and estimates underlying the pro forma adjustments are described in the accompanying notes. Actual results may differ materially from the assumptions used to present the accompanying unaudited pro forma condensed combined financial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40"/>
        <w:jc w:val="center"/>
        <w:rPr>
          <w:rFonts w:ascii="Times New Roman" w:hAnsi="Times New Roman"/>
          <w:color w:val="000000"/>
          <w:sz w:val="20"/>
        </w:rPr>
      </w:pPr>
      <w:r>
        <w:rPr>
          <w:rFonts w:ascii="Times New Roman" w:hAnsi="Times New Roman"/>
          <w:color w:val="000000"/>
          <w:sz w:val="20"/>
        </w:rPr>
        <w:t>PRO FORMA CONDENSED COMBINED BALANCE SHEET</w:t>
      </w:r>
    </w:p>
    <w:p>
      <w:pPr>
        <w:pStyle w:val="TextBody"/>
        <w:bidi w:val="0"/>
        <w:spacing w:before="0" w:after="200"/>
        <w:jc w:val="center"/>
        <w:rPr>
          <w:rFonts w:ascii="Times New Roman" w:hAnsi="Times New Roman"/>
          <w:b/>
          <w:i/>
          <w:color w:val="000000"/>
          <w:sz w:val="20"/>
        </w:rPr>
      </w:pPr>
      <w:r>
        <w:rPr>
          <w:rFonts w:ascii="Times New Roman" w:hAnsi="Times New Roman"/>
          <w:b/>
          <w:i/>
          <w:color w:val="000000"/>
          <w:sz w:val="20"/>
        </w:rPr>
        <w:t>AS OF MARCH 31, 2026 (UNAUDITED)</w:t>
      </w:r>
    </w:p>
    <w:tbl>
      <w:tblPr>
        <w:tblW w:w="10205" w:type="dxa"/>
        <w:jc w:val="left"/>
        <w:tblInd w:w="0" w:type="dxa"/>
        <w:tblLayout w:type="fixed"/>
        <w:tblCellMar>
          <w:top w:w="28" w:type="dxa"/>
          <w:left w:w="28" w:type="dxa"/>
          <w:bottom w:w="28" w:type="dxa"/>
          <w:right w:w="28" w:type="dxa"/>
        </w:tblCellMar>
      </w:tblPr>
      <w:tblGrid>
        <w:gridCol w:w="4573"/>
        <w:gridCol w:w="1224"/>
        <w:gridCol w:w="146"/>
        <w:gridCol w:w="1181"/>
        <w:gridCol w:w="288"/>
        <w:gridCol w:w="1141"/>
        <w:gridCol w:w="288"/>
        <w:gridCol w:w="1364"/>
      </w:tblGrid>
      <w:tr>
        <w:trPr/>
        <w:tc>
          <w:tcPr>
            <w:tcW w:w="4573"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2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REPAY Historical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KUBRA Historical</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Adjustments</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Combined Pro Forma</w:t>
            </w:r>
          </w:p>
        </w:tc>
      </w:tr>
      <w:tr>
        <w:trPr/>
        <w:tc>
          <w:tcPr>
            <w:tcW w:w="4573"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22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$43,770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$6,312</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$6,553</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(a)</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$56,635</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restricted cash</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31,219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31,219</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Accounts receivable</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34,835</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71,443</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Inventories</w:t>
            </w:r>
          </w:p>
        </w:tc>
        <w:tc>
          <w:tcPr>
            <w:tcW w:w="122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2,441</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2,441</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Prepaid expenses and other</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19,414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6,744</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(1)</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26,158</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current assets</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131,011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50,332</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6,553</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187,897</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plant and equipment, net</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4,683</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5,836</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Noncurrent restricted cash</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11,820</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Intangible assets, net</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338,344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141,893</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(2)</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95,107</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(b)</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575,344</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474,512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162,458</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15,210</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(c)</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652,180</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(“ROU”) assets, net</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6,019</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3,751</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(d)</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18,010</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tax assets</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170,995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170,995</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4,729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(3)</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4,748</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noncurrent assets</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1,009,792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315,073</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114,068</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1,438,933</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assets</w:t>
            </w:r>
          </w:p>
        </w:tc>
        <w:tc>
          <w:tcPr>
            <w:tcW w:w="122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$1,140,803</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$365,405</w:t>
            </w:r>
          </w:p>
        </w:tc>
        <w:tc>
          <w:tcPr>
            <w:tcW w:w="288"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114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$120,622</w:t>
            </w:r>
          </w:p>
        </w:tc>
        <w:tc>
          <w:tcPr>
            <w:tcW w:w="288"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136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$1,626,829</w:t>
            </w:r>
          </w:p>
        </w:tc>
      </w:tr>
      <w:tr>
        <w:trPr/>
        <w:tc>
          <w:tcPr>
            <w:tcW w:w="4573"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w:t>
            </w:r>
          </w:p>
        </w:tc>
        <w:tc>
          <w:tcPr>
            <w:tcW w:w="122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Accounts payable</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17,510</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(4)</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41,442</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Related party payable</w:t>
            </w:r>
          </w:p>
        </w:tc>
        <w:tc>
          <w:tcPr>
            <w:tcW w:w="122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12,540</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(5)</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(12,540)</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(e)</w:t>
            </w:r>
          </w:p>
        </w:tc>
        <w:tc>
          <w:tcPr>
            <w:tcW w:w="136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Accrued expenses</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21,590</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(4)</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68,480</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operating lease liabilities</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2,990</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692</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(f)</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5,137</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finance lease liabilities</w:t>
            </w:r>
          </w:p>
        </w:tc>
        <w:tc>
          <w:tcPr>
            <w:tcW w:w="122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(g)</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revenue</w:t>
            </w:r>
          </w:p>
        </w:tc>
        <w:tc>
          <w:tcPr>
            <w:tcW w:w="122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13,146</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(6)</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13,146</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current liabilities</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954</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current liabilities</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73,231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67,776</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(11,658)</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129,349</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debt, net of current maturities</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390,592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360,628</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(h)</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751,220</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Noncurrent operating lease liabilities</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3,332</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2,776</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(i)</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14,334</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Noncurrent finance lease liabilities</w:t>
            </w:r>
          </w:p>
        </w:tc>
        <w:tc>
          <w:tcPr>
            <w:tcW w:w="122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1,144</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(j)</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961</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Noncurrent deferred revenue</w:t>
            </w:r>
          </w:p>
        </w:tc>
        <w:tc>
          <w:tcPr>
            <w:tcW w:w="122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1,661</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(6)</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1,661</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Tax receivable agreement, net of current portion</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191,803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191,803</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tax liability</w:t>
            </w:r>
          </w:p>
        </w:tc>
        <w:tc>
          <w:tcPr>
            <w:tcW w:w="122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32,098</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28,452</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(k)</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60,550</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liabilities</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1,688</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noncurrent liabilities</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592,309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38,235</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391,674</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1,022,217</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liabilities</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$665,540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$106,010</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$380,016</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$1,151,566</w:t>
            </w:r>
          </w:p>
        </w:tc>
      </w:tr>
      <w:tr>
        <w:trPr/>
        <w:tc>
          <w:tcPr>
            <w:tcW w:w="4573"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Stockholders’ equity</w:t>
            </w:r>
          </w:p>
        </w:tc>
        <w:tc>
          <w:tcPr>
            <w:tcW w:w="122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Class A common stock, $0.0001 par value; 2,000,000,000 shares authorized; 96,174,655 issued and 82,798,766 outstanding as of March 31, 2026</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(7)</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(l)</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Class V common stock, $0.0001 par value; 1,000 shares authorized and 100 shares issued and outstanding</w:t>
            </w:r>
          </w:p>
        </w:tc>
        <w:tc>
          <w:tcPr>
            <w:tcW w:w="122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Treasury stock, 13,375,889 shares repurchased as of March 31, 2026</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(92,025)</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Additional paid-in capital</w:t>
            </w:r>
          </w:p>
        </w:tc>
        <w:tc>
          <w:tcPr>
            <w:tcW w:w="12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1,170,507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151,116</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(151,116)</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(l)</w:t>
            </w:r>
          </w:p>
        </w:tc>
        <w:tc>
          <w:tcPr>
            <w:tcW w:w="13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1,170,507</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Accumulated other comprehensive (loss) income</w:t>
            </w:r>
          </w:p>
        </w:tc>
        <w:tc>
          <w:tcPr>
            <w:tcW w:w="122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7,520</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(7,520)</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(l)</w:t>
            </w:r>
          </w:p>
        </w:tc>
        <w:tc>
          <w:tcPr>
            <w:tcW w:w="136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Accumulated deficit</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(600,490)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100,755</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(8)</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(100,755)</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i/>
                <w:color w:val="000000"/>
                <w:sz w:val="19"/>
              </w:rPr>
            </w:pPr>
            <w:r>
              <w:rPr>
                <w:rFonts w:ascii="Times New Roman" w:hAnsi="Times New Roman"/>
                <w:b/>
                <w:i/>
                <w:color w:val="000000"/>
                <w:sz w:val="19"/>
              </w:rPr>
              <w:t>(l)</w:t>
            </w:r>
          </w:p>
        </w:tc>
        <w:tc>
          <w:tcPr>
            <w:tcW w:w="136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(600,490)</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stockholders’ equity</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$478,000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$259,394</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$(259,394)</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$478,000</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Equity attributable to non-controlling interests</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(2,737)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(2,737)</w:t>
            </w:r>
          </w:p>
        </w:tc>
      </w:tr>
      <w:tr>
        <w:trPr/>
        <w:tc>
          <w:tcPr>
            <w:tcW w:w="4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liabilities and stockholders’ equity</w:t>
            </w:r>
          </w:p>
        </w:tc>
        <w:tc>
          <w:tcPr>
            <w:tcW w:w="122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$1,140,803</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$365,405</w:t>
            </w:r>
          </w:p>
        </w:tc>
        <w:tc>
          <w:tcPr>
            <w:tcW w:w="288"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$120,622</w:t>
            </w:r>
          </w:p>
        </w:tc>
        <w:tc>
          <w:tcPr>
            <w:tcW w:w="288"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36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$1,626,829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40"/>
        <w:jc w:val="center"/>
        <w:rPr>
          <w:rFonts w:ascii="Times New Roman" w:hAnsi="Times New Roman"/>
          <w:color w:val="000000"/>
          <w:sz w:val="20"/>
        </w:rPr>
      </w:pPr>
      <w:r>
        <w:rPr>
          <w:rFonts w:ascii="Times New Roman" w:hAnsi="Times New Roman"/>
          <w:color w:val="000000"/>
          <w:sz w:val="20"/>
        </w:rPr>
        <w:t>PRO FORMA CONDENSED COMBINED STATEMENT OF OPERATIONS</w:t>
      </w:r>
    </w:p>
    <w:p>
      <w:pPr>
        <w:pStyle w:val="TextBody"/>
        <w:bidi w:val="0"/>
        <w:spacing w:before="0" w:after="200"/>
        <w:jc w:val="center"/>
        <w:rPr>
          <w:rFonts w:ascii="Times New Roman" w:hAnsi="Times New Roman"/>
          <w:b/>
          <w:i/>
          <w:color w:val="000000"/>
          <w:sz w:val="20"/>
        </w:rPr>
      </w:pPr>
      <w:r>
        <w:rPr>
          <w:rFonts w:ascii="Times New Roman" w:hAnsi="Times New Roman"/>
          <w:b/>
          <w:i/>
          <w:color w:val="000000"/>
          <w:sz w:val="20"/>
        </w:rPr>
        <w:t>FOR THE THREE MONTHS ENDED MARCH 31, 2026 (UNAUDITED)</w:t>
      </w:r>
    </w:p>
    <w:tbl>
      <w:tblPr>
        <w:tblW w:w="10205" w:type="dxa"/>
        <w:jc w:val="left"/>
        <w:tblInd w:w="0" w:type="dxa"/>
        <w:tblLayout w:type="fixed"/>
        <w:tblCellMar>
          <w:top w:w="28" w:type="dxa"/>
          <w:left w:w="28" w:type="dxa"/>
          <w:bottom w:w="28" w:type="dxa"/>
          <w:right w:w="28" w:type="dxa"/>
        </w:tblCellMar>
      </w:tblPr>
      <w:tblGrid>
        <w:gridCol w:w="3908"/>
        <w:gridCol w:w="1429"/>
        <w:gridCol w:w="146"/>
        <w:gridCol w:w="1419"/>
        <w:gridCol w:w="146"/>
        <w:gridCol w:w="1141"/>
        <w:gridCol w:w="353"/>
        <w:gridCol w:w="1663"/>
      </w:tblGrid>
      <w:tr>
        <w:trPr/>
        <w:tc>
          <w:tcPr>
            <w:tcW w:w="390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 except per share data)</w:t>
            </w:r>
          </w:p>
        </w:tc>
        <w:tc>
          <w:tcPr>
            <w:tcW w:w="14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REPAY Historical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KUBRA Historical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Adjustments</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Combined Pro Forma</w:t>
            </w:r>
          </w:p>
        </w:tc>
      </w:tr>
      <w:tr>
        <w:trPr/>
        <w:tc>
          <w:tcPr>
            <w:tcW w:w="39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$80,794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$65,103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$(4,369)</w:t>
            </w:r>
          </w:p>
        </w:tc>
        <w:tc>
          <w:tcPr>
            <w:tcW w:w="3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(m)</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$141,528</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 of services</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w:t>
            </w:r>
          </w:p>
        </w:tc>
        <w:tc>
          <w:tcPr>
            <w:tcW w:w="3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(m)</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49,207</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57,783</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3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34,381</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2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80,801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1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62,160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353"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66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141,370</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income from operations</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(2,344)</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w:t>
            </w:r>
          </w:p>
        </w:tc>
        <w:tc>
          <w:tcPr>
            <w:tcW w:w="3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(o)</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extinguishment of debt</w:t>
            </w:r>
          </w:p>
        </w:tc>
        <w:tc>
          <w:tcPr>
            <w:tcW w:w="142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tax receivable liability</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 net</w:t>
            </w:r>
          </w:p>
        </w:tc>
        <w:tc>
          <w:tcPr>
            <w:tcW w:w="142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 income</w:t>
            </w:r>
          </w:p>
        </w:tc>
        <w:tc>
          <w:tcPr>
            <w:tcW w:w="142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(7,994)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(11,524)</w:t>
            </w:r>
          </w:p>
        </w:tc>
        <w:tc>
          <w:tcPr>
            <w:tcW w:w="35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(19,874)</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income before income tax expense</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(8,001)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(13,868)</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(19,716)</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2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2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$(10,034)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$(11,397)</w:t>
            </w:r>
          </w:p>
        </w:tc>
        <w:tc>
          <w:tcPr>
            <w:tcW w:w="353"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$(19,547)</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income attributable to non-controlling interests</w:t>
            </w:r>
          </w:p>
        </w:tc>
        <w:tc>
          <w:tcPr>
            <w:tcW w:w="142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(q)</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attributable to the Company</w:t>
            </w:r>
          </w:p>
        </w:tc>
        <w:tc>
          <w:tcPr>
            <w:tcW w:w="142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$(9,940)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$(10,744)</w:t>
            </w:r>
          </w:p>
        </w:tc>
        <w:tc>
          <w:tcPr>
            <w:tcW w:w="353"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66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$(18,800)</w:t>
            </w:r>
          </w:p>
        </w:tc>
      </w:tr>
      <w:tr>
        <w:trPr/>
        <w:tc>
          <w:tcPr>
            <w:tcW w:w="39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Class A share:</w:t>
            </w:r>
          </w:p>
        </w:tc>
        <w:tc>
          <w:tcPr>
            <w:tcW w:w="1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outstanding:</w:t>
            </w:r>
          </w:p>
        </w:tc>
        <w:tc>
          <w:tcPr>
            <w:tcW w:w="1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82,517,843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82,517,843</w:t>
            </w:r>
          </w:p>
        </w:tc>
      </w:tr>
    </w:tbl>
    <w:p>
      <w:pPr>
        <w:pStyle w:val="TextBody"/>
        <w:bidi w:val="0"/>
        <w:spacing w:before="0" w:after="20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40"/>
        <w:jc w:val="center"/>
        <w:rPr>
          <w:rFonts w:ascii="Times New Roman" w:hAnsi="Times New Roman"/>
          <w:color w:val="000000"/>
          <w:sz w:val="20"/>
        </w:rPr>
      </w:pPr>
      <w:r>
        <w:rPr>
          <w:rFonts w:ascii="Times New Roman" w:hAnsi="Times New Roman"/>
          <w:color w:val="000000"/>
          <w:sz w:val="20"/>
        </w:rPr>
        <w:t>PRO FORMA CONDENSED COMBINED STATEMENT OF OPERATIONS</w:t>
      </w:r>
    </w:p>
    <w:p>
      <w:pPr>
        <w:pStyle w:val="TextBody"/>
        <w:bidi w:val="0"/>
        <w:spacing w:before="0" w:after="200"/>
        <w:jc w:val="center"/>
        <w:rPr>
          <w:rFonts w:ascii="Times New Roman" w:hAnsi="Times New Roman"/>
          <w:b/>
          <w:i/>
          <w:color w:val="000000"/>
          <w:sz w:val="20"/>
        </w:rPr>
      </w:pPr>
      <w:r>
        <w:rPr>
          <w:rFonts w:ascii="Times New Roman" w:hAnsi="Times New Roman"/>
          <w:b/>
          <w:i/>
          <w:color w:val="000000"/>
          <w:sz w:val="20"/>
        </w:rPr>
        <w:t>FOR THE YEAR ENDED DECEMBER 31, 2025 (UNAUDITED)</w:t>
      </w:r>
    </w:p>
    <w:tbl>
      <w:tblPr>
        <w:tblW w:w="10205" w:type="dxa"/>
        <w:jc w:val="left"/>
        <w:tblInd w:w="0" w:type="dxa"/>
        <w:tblLayout w:type="fixed"/>
        <w:tblCellMar>
          <w:top w:w="28" w:type="dxa"/>
          <w:left w:w="28" w:type="dxa"/>
          <w:bottom w:w="28" w:type="dxa"/>
          <w:right w:w="28" w:type="dxa"/>
        </w:tblCellMar>
      </w:tblPr>
      <w:tblGrid>
        <w:gridCol w:w="3908"/>
        <w:gridCol w:w="1429"/>
        <w:gridCol w:w="146"/>
        <w:gridCol w:w="1419"/>
        <w:gridCol w:w="146"/>
        <w:gridCol w:w="1141"/>
        <w:gridCol w:w="353"/>
        <w:gridCol w:w="1663"/>
      </w:tblGrid>
      <w:tr>
        <w:trPr/>
        <w:tc>
          <w:tcPr>
            <w:tcW w:w="390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 except per share data)</w:t>
            </w:r>
          </w:p>
        </w:tc>
        <w:tc>
          <w:tcPr>
            <w:tcW w:w="14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REPAY Historical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KUBRA Historical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Adjustments</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Combined Pro Forma</w:t>
            </w:r>
          </w:p>
        </w:tc>
      </w:tr>
      <w:tr>
        <w:trPr/>
        <w:tc>
          <w:tcPr>
            <w:tcW w:w="39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$309,261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$246,624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$(7,776)</w:t>
            </w:r>
          </w:p>
        </w:tc>
        <w:tc>
          <w:tcPr>
            <w:tcW w:w="3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(m)</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$548,108</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 of services</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77,243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133,443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(7,776)</w:t>
            </w:r>
          </w:p>
        </w:tc>
        <w:tc>
          <w:tcPr>
            <w:tcW w:w="3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(m)</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202,910</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142,006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83,869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225,875</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11,110</w:t>
            </w:r>
          </w:p>
        </w:tc>
        <w:tc>
          <w:tcPr>
            <w:tcW w:w="3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127,379</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w:t>
            </w:r>
          </w:p>
        </w:tc>
        <w:tc>
          <w:tcPr>
            <w:tcW w:w="142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242,688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242,688</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2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563,983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231,535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3,334</w:t>
            </w:r>
          </w:p>
        </w:tc>
        <w:tc>
          <w:tcPr>
            <w:tcW w:w="35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798,852</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income from operations</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(254,722)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(11,110)</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(250,744)</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(53,174)</w:t>
            </w:r>
          </w:p>
        </w:tc>
        <w:tc>
          <w:tcPr>
            <w:tcW w:w="3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(o)</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(68,032)</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extinguishment of debt</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tax receivable liability</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(13,507)</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 net</w:t>
            </w:r>
          </w:p>
        </w:tc>
        <w:tc>
          <w:tcPr>
            <w:tcW w:w="142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 income</w:t>
            </w:r>
          </w:p>
        </w:tc>
        <w:tc>
          <w:tcPr>
            <w:tcW w:w="142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(22,235)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(53,174)</w:t>
            </w:r>
          </w:p>
        </w:tc>
        <w:tc>
          <w:tcPr>
            <w:tcW w:w="35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(76,326)</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income before income tax expense</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(276,957)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14,172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(64,284)</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(327,070)</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2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13,950</w:t>
            </w:r>
          </w:p>
        </w:tc>
        <w:tc>
          <w:tcPr>
            <w:tcW w:w="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16,453</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2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$(271,088)</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$10,805</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$(50,334)</w:t>
            </w:r>
          </w:p>
        </w:tc>
        <w:tc>
          <w:tcPr>
            <w:tcW w:w="353"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$(310,617)</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income attributable to non-controlling interests</w:t>
            </w:r>
          </w:p>
        </w:tc>
        <w:tc>
          <w:tcPr>
            <w:tcW w:w="142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(q)</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(17,198)</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attributable to the Company</w:t>
            </w:r>
          </w:p>
        </w:tc>
        <w:tc>
          <w:tcPr>
            <w:tcW w:w="142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$(256,724)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41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$10,805</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$(47,500)</w:t>
            </w:r>
          </w:p>
        </w:tc>
        <w:tc>
          <w:tcPr>
            <w:tcW w:w="353"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66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$(293,419)</w:t>
            </w:r>
          </w:p>
        </w:tc>
      </w:tr>
      <w:tr>
        <w:trPr/>
        <w:tc>
          <w:tcPr>
            <w:tcW w:w="39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Class A share:</w:t>
            </w:r>
          </w:p>
        </w:tc>
        <w:tc>
          <w:tcPr>
            <w:tcW w:w="1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outstanding:</w:t>
            </w:r>
          </w:p>
        </w:tc>
        <w:tc>
          <w:tcPr>
            <w:tcW w:w="1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85,558,300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85,558,300</w:t>
            </w:r>
          </w:p>
        </w:tc>
      </w:tr>
    </w:tbl>
    <w:p>
      <w:pPr>
        <w:pStyle w:val="TextBody"/>
        <w:bidi w:val="0"/>
        <w:spacing w:before="0" w:after="20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NOTES TO UNAUDITED PRO FORMA CONDENSED COMBINED FINANCIAL INFORMATION</w:t>
      </w:r>
    </w:p>
    <w:p>
      <w:pPr>
        <w:pStyle w:val="Heading2"/>
        <w:bidi w:val="0"/>
        <w:spacing w:before="0" w:after="160"/>
        <w:jc w:val="left"/>
        <w:rPr>
          <w:rFonts w:ascii="Times New Roman" w:hAnsi="Times New Roman"/>
          <w:color w:val="000000"/>
          <w:sz w:val="20"/>
        </w:rPr>
      </w:pPr>
      <w:r>
        <w:rPr>
          <w:rFonts w:ascii="Times New Roman" w:hAnsi="Times New Roman"/>
          <w:color w:val="000000"/>
          <w:sz w:val="20"/>
        </w:rPr>
        <w:t>1. Description of the Acquisition and Basis of Presentation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Description of the Acquisition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June 1, 2026, the Company acquired all of the issued and outstanding capital stock of KUBRA, pursuant to the KUBRA Purchase Agreement. Following the KUBRA Acquisition, KUBRA became an indirect subsidiary of the Company, consistent with the treatment of other Company operating companies. Under the terms of the KUBRA Purchase Agreement, REPAY paid aggregate cash consideration at closing of approximately $354.1 million, subject to customary post-closing adjustments, funded through a combination of cash on hand and borrowings under a new $500 million term loan facility.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KUBRA, headquartered in Mississauga, Ontario, with additional offices in Piscataway, New Jersey, Coppell, Texas, Gardena, California and Tempe, Arizona, is a provider of customer experience management solutions, including billing and payments, alerts and preference management, artificial intelligence solutions, mobile apps, and utility mapping solutions, to utility, government, and insurance entities primarily in the United States and Canada.</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KUBRA constitutes a business, with inputs, processes, and outputs. Accordingly, the KUBRA Acquisition constitutes the acquisition of a business for purposes of ASC 805, and due to the change in control, is accounted for using the acquisition method.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Under the acquisition method, the acquisition date fair value of the gross consideration paid by REPAY to close the KUBRA Acquisition was allocated to the assets acquired and the liabilities assumed based on their estimated fair values. Management has made significant estimates and assumptions in determining the preliminary allocation of the gross consideration transferred in the unaudited pro forma condensed combined financial information. As the unaudited pro forma condensed combined financial information has been prepared based on these preliminary estimates, the final amounts recorded may differ materially from the information presented.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pro forma adjustments reflecting the consummation of the KUBRA Acquisition are based on certain currently available information and certain assumptions and methodologies that REPAY believes are reasonable under the circumstances. The unaudited condensed pro forma adjustments may be revised as additional information becomes available and alternative valuation methodologies are evaluated. Therefore, it is likely that the actual adjustments will differ from the pro forma adjustments and it is possible the differences may be material. REPAY believes that its assumptions and methodologies will provide a reasonable basis for presenting all the significant effects of the KUBRA Acquisition contemplated based on information available to management at the time and that the pro forma adjustments will give appropriate effect to those assumptions and will be properly applied in the unaudited pro forma condensed combined financial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unaudited pro forma condensed combined financial information is not necessarily indicative of what the actual results of operations and financial position would have been had the KUBRA Acquisition taken place on the dates indicated, nor are they indicative of the future consolidated results of operations or financial position of the Company. They should be read in conjunction with the historical financial statements and notes thereto of REPAY and KUBRA.</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2. Accounting Policies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 has performed a review of KUBRA’s accounting policies. As a result of the KUBRA Acquisition, the Company adopted accounting policies for inventories (accounted for using the first-in, first-out method and valued at the lower of cost or net realizable value) and for finance leases of production equipment (accounted for in accordance with </w:t>
      </w:r>
      <w:r>
        <w:rPr>
          <w:rFonts w:ascii="Times New Roman" w:hAnsi="Times New Roman"/>
          <w:i/>
          <w:color w:val="000000"/>
          <w:sz w:val="20"/>
        </w:rPr>
        <w:t>ASC 842, Leases</w:t>
      </w:r>
      <w:r>
        <w:rPr>
          <w:rFonts w:ascii="Times New Roman" w:hAnsi="Times New Roman"/>
          <w:color w:val="000000"/>
          <w:sz w:val="20"/>
        </w:rPr>
        <w:t>), in addition to REPAY’s existing accounting policies. Management may identify additional differences between the accounting methodologies of REPAY and KUBRA as its review continues, which, when conformed, could have a material impact on the financial statements of the Company. As such, the unaudited pro forma condensed combined financial information does not include comprehensive adjustments for accounting policy differences.</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3. Estimated Preliminary Purchase Price Allocation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preliminary allocation of the purchase price to the fair value of KUBRA’s assets acquired and liabilities assumed, based on their estimated fair values as of the June 1, 2026 closing date of the KUBRA Acquisition, is presented below. REPAY has completed a preliminary valuation necessary to estimate the fair value of the assets acquired and the liabilities assumed and, accordingly, the amounts recorded to reflect the assets acquired and liabilities assumed at fair value reflect the best estimates of REPAY based on the information currently available and are subject to change once additional analyses, including a transfer pricing study with respect to KUBRA’s U.S. and Canadian legal entities, are completed within the measurement period.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preliminary purchase price allocation presented below reflects the KUBRA Acquisition as of its actual closing date. For purposes of the accompanying unaudited pro forma condensed combined balance sheet, the pro forma adjustments described in Note 5 present this information as if the KUBRA Acquisition had closed on March 31, 2026; as a result, the fair value estimates reflected in the Note 5 pro forma adjustments may differ from the amounts presented below due to changes in KUBRA’s assets and liabilities between March 31, 2026 and the June 1, 2026 closing date.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Purchase Price</w:t>
      </w:r>
    </w:p>
    <w:tbl>
      <w:tblPr>
        <w:tblW w:w="2807" w:type="dxa"/>
        <w:jc w:val="left"/>
        <w:tblInd w:w="0" w:type="dxa"/>
        <w:tblLayout w:type="fixed"/>
        <w:tblCellMar>
          <w:top w:w="28" w:type="dxa"/>
          <w:left w:w="28" w:type="dxa"/>
          <w:bottom w:w="28" w:type="dxa"/>
          <w:right w:w="28" w:type="dxa"/>
        </w:tblCellMar>
      </w:tblPr>
      <w:tblGrid>
        <w:gridCol w:w="1876"/>
        <w:gridCol w:w="931"/>
      </w:tblGrid>
      <w:tr>
        <w:trPr/>
        <w:tc>
          <w:tcPr>
            <w:tcW w:w="187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$354,075</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purchase price</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$354,075</w:t>
            </w:r>
          </w:p>
        </w:tc>
      </w:tr>
    </w:tbl>
    <w:p>
      <w:pPr>
        <w:pStyle w:val="TextBody"/>
        <w:bidi w:val="0"/>
        <w:spacing w:before="0" w:after="12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Preliminary Purchase Price Allocation</w:t>
      </w:r>
    </w:p>
    <w:tbl>
      <w:tblPr>
        <w:tblW w:w="4382" w:type="dxa"/>
        <w:jc w:val="left"/>
        <w:tblInd w:w="0" w:type="dxa"/>
        <w:tblLayout w:type="fixed"/>
        <w:tblCellMar>
          <w:top w:w="28" w:type="dxa"/>
          <w:left w:w="28" w:type="dxa"/>
          <w:bottom w:w="28" w:type="dxa"/>
          <w:right w:w="28" w:type="dxa"/>
        </w:tblCellMar>
      </w:tblPr>
      <w:tblGrid>
        <w:gridCol w:w="3451"/>
        <w:gridCol w:w="931"/>
      </w:tblGrid>
      <w:tr>
        <w:trPr/>
        <w:tc>
          <w:tcPr>
            <w:tcW w:w="34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28,105</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44,854</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237,000</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identifiable assets acquired</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294,888</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(17,433)</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(29,644)</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(60,549)</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identifiable assets acquired</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176,502</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177,573</w:t>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purchase price</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$354,075</w:t>
            </w:r>
          </w:p>
        </w:tc>
      </w:tr>
    </w:tbl>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Intangible Assets. Intangible assets were identified that met either the separability criterion or the contractual-legal criterion described in ASC 805. The trade names intangible asset represents the KUBRA trade names, which was valued using the relief-from-royalty method. The developed technology intangible asset represents the software developed by KUBRA employees and contractors for the purpose of generating income for KUBRA, valued using the relief-from-royalty method. The client relationships intangible asset represents the existing customer relationships, valued using a discounted cash flow model using projected sales growth and customer attrition.</w:t>
      </w:r>
    </w:p>
    <w:tbl>
      <w:tblPr>
        <w:tblW w:w="6588" w:type="dxa"/>
        <w:jc w:val="left"/>
        <w:tblInd w:w="0" w:type="dxa"/>
        <w:tblLayout w:type="fixed"/>
        <w:tblCellMar>
          <w:top w:w="28" w:type="dxa"/>
          <w:left w:w="28" w:type="dxa"/>
          <w:bottom w:w="28" w:type="dxa"/>
          <w:right w:w="28" w:type="dxa"/>
        </w:tblCellMar>
      </w:tblPr>
      <w:tblGrid>
        <w:gridCol w:w="2521"/>
        <w:gridCol w:w="2236"/>
        <w:gridCol w:w="1831"/>
      </w:tblGrid>
      <w:tr>
        <w:trPr/>
        <w:tc>
          <w:tcPr>
            <w:tcW w:w="252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Identifiable intangible assets</w:t>
            </w:r>
          </w:p>
        </w:tc>
        <w:tc>
          <w:tcPr>
            <w:tcW w:w="22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Fair Value (in thousands)</w:t>
            </w:r>
          </w:p>
        </w:tc>
        <w:tc>
          <w:tcPr>
            <w:tcW w:w="18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Useful life (in years)</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Client relationships</w:t>
            </w:r>
          </w:p>
        </w:tc>
        <w:tc>
          <w:tcPr>
            <w:tcW w:w="22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c>
          <w:tcPr>
            <w:tcW w:w="18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22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8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22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8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$237,000</w:t>
            </w:r>
          </w:p>
        </w:tc>
        <w:tc>
          <w:tcPr>
            <w:tcW w:w="1831"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Goodwill. Approximately $177.6 million of the purchase price has been allocated to goodwill, of which $0 is expected to be deductible for tax purposes. Goodwill represents the excess of the gross consideration transferred over the fair value of the underlying net tangible and identifiable definite-lived intangible assets acquired. Goodwill was allocated 100% to the Company’s Consumer Payments segment. Qualitative factors that contribute to the recognition of goodwill include certain intangible assets that are not recognized as separate identifiable intangible assets apart from goodwill.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Intangible assets not recognized apart from goodwill consist primarily of the strong market position and the assembled workforce of KUBRA.</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accordance with </w:t>
      </w:r>
      <w:r>
        <w:rPr>
          <w:rFonts w:ascii="Times New Roman" w:hAnsi="Times New Roman"/>
          <w:i/>
          <w:color w:val="000000"/>
          <w:sz w:val="20"/>
        </w:rPr>
        <w:t>ASC 350, Goodwill and Other Intangible Assets</w:t>
      </w:r>
      <w:r>
        <w:rPr>
          <w:rFonts w:ascii="Times New Roman" w:hAnsi="Times New Roman"/>
          <w:color w:val="000000"/>
          <w:sz w:val="20"/>
        </w:rPr>
        <w:t>, goodwill will not be amortized, but instead will be tested for impairment at least annually or more frequently if certain indicators are present. In the event management of the Company determines that the value of goodwill has become impaired, an accounting charge for impairment during the quarter in which the determination is made may be recognized.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4. Reclassifications of KUBRA’s Financial Statements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Certain historical financial information of KUBRA has been reclassified, and certain of REPAY’s historical financial statement captions have been presented on a combined basis, to conform to the presentation used in these unaudited pro forma condensed combined financial statements. These reclassifications include:</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Unaudited Pro Forma Condensed Combined Balance Sheet ($ in thousands)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 The reclassification of $1,148 of KUBRA income tax receivable to prepaid expenses and other. KUBRA’s inventories of $2,441 are presented within a separate inventories caption, which REPAY does not otherwise report.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(2) The combination of REPAY’s $338,344 intangible assets, net (as reported on a combined basis in REPAY’s Condensed Consolidated Balance Sheets) and $141,893 of KUBRA capitalized software development costs, net and intangible assets, net (previously reported by KUBRA in two separate captions) into a single intangible assets, net caption.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(3) The reclassification of $19 of KUBRA security investment to other assets.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(4) The reclassification of $17,510 of KUBRA accounts payable and accrued expenses to accounts payable, and the reclassification of $16,558 of KUBRA customer deposits and $5,032 of KUBRA due to related party, totaling $21,590, to accrued expenses.</w:t>
      </w:r>
    </w:p>
    <w:p>
      <w:pPr>
        <w:pStyle w:val="TextBody"/>
        <w:bidi w:val="0"/>
        <w:jc w:val="left"/>
        <w:rPr>
          <w:rFonts w:ascii="Times New Roman" w:hAnsi="Times New Roman"/>
          <w:color w:val="000000"/>
          <w:sz w:val="20"/>
        </w:rPr>
      </w:pPr>
      <w:r>
        <w:rPr>
          <w:rFonts w:ascii="Times New Roman" w:hAnsi="Times New Roman"/>
          <w:color w:val="000000"/>
          <w:sz w:val="20"/>
        </w:rPr>
        <w:t>(5) The reclassification of $12,540 of KUBRA intercompany note payable to Hearst to related party payable.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(6) Represents KUBRA’s deferred revenue of $14,807, which KUBRA reports within a single caption and which has not been reclassified.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(7) The reclassification of $4 of KUBRA common stock to Class A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(8) The presentation of $100,755 of KUBRA retained earnings within accumulated deficit; this amount represents retained earnings and not an accumulated deficit.</w:t>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Unaudited Pro Forma Condensed Combined Statement of Operations ($ in thousands)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KUBRA’s historical statements of operations present cost of revenue, research and development, sales and marketing, and general and administrative expenses on a combined basis, without separately stating depreciation and amortization. To conform to REPAY’s presentation, KUBRA’s cost of revenue is reclassified to other costs of services and KUBRA’s research and development, sales and marketing, and general and administrative expenses are reclassified to selling, general and administrative, in each case with depreciation and amortization separately stated. For the three months ended March 31, 2026, $6,063 of KUBRA depreciation and amortization (comprising $630 of property and equipment depreciation, $1,877 of capitalized software amortization, and $3,556 of intangible asset amortization) was reclassified out of KUBRA’s combined research and development, sales and marketing, and general and administrative expenses, resulting in selling, general and administrative expenses of $21,829 and other costs of services of $34,268. For the year ended December 31, 2025, $14,223 of KUBRA depreciation and amortization was reclassified out of KUBRA’s selling, general and administrative, comprising entirely of intangible asset amortization, resulting in other costs of services of $133,443 and selling, general and administrative expenses of $83,869. KUBRA’s foreign exchange loss and other expense, totaling $231 for the three months ended March 31, 2026 and $6, net, for the year ended December 31, 2025, were reclassified to other loss.</w:t>
      </w:r>
    </w:p>
    <w:p>
      <w:pPr>
        <w:pStyle w:val="Heading2"/>
        <w:bidi w:val="0"/>
        <w:spacing w:before="0" w:after="160"/>
        <w:jc w:val="both"/>
        <w:rPr>
          <w:rFonts w:ascii="Times New Roman" w:hAnsi="Times New Roman"/>
          <w:color w:val="000000"/>
          <w:sz w:val="20"/>
        </w:rPr>
      </w:pPr>
      <w:r>
        <w:rPr>
          <w:rFonts w:ascii="Times New Roman" w:hAnsi="Times New Roman"/>
          <w:color w:val="000000"/>
          <w:sz w:val="20"/>
        </w:rPr>
        <w:t>5. Pro Forma Adjustments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unaudited pro forma condensed combined financial information has been prepared to illustrate the effect of the KUBRA Acquisition and has been prepared for informational purposes only.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historical financial statements have been adjusted in the unaudited pro forma condensed combined financial information to give pro forma effect to events that are directly attributable to the KUBRA Acquisition.</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Adjustments to the Unaudited Pro Forma Condensed Combined Balance Sheet ($ in thousands)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Represents the net increase in cash and cash equivalents resulting from (i) $360,628 of net proceeds borrowed under the Company’s new term loan facility to fund the KUBRA Acquisition, net of debt issuance costs, less (ii) the payment of $354,075 of cash consideration to the sellers of KUBRA.</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(b) Reflects the adjustment of KUBRA’s historical intangible assets to their estimated fair value of $237,000, comprising client relationships, developed technology, and trade names, resulting in an increase of $95,107 over KUBRA’s carrying value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$141,893. The fair value of identifiable intangible assets is determined primarily using the “income approach,” which requires a forecast of all of the expected future cash flows.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These preliminary estimates of fair value and estimated useful lives could differ from final amounts the Company will calculate after completing a detailed valuation analysis, and the difference could have a material impact on the accompanying unaudited pro forma condensed combined financial statements.</w:t>
      </w:r>
    </w:p>
    <w:p>
      <w:pPr>
        <w:pStyle w:val="TextBody"/>
        <w:bidi w:val="0"/>
        <w:jc w:val="both"/>
        <w:rPr>
          <w:rFonts w:ascii="Times New Roman" w:hAnsi="Times New Roman"/>
          <w:color w:val="000000"/>
          <w:sz w:val="20"/>
        </w:rPr>
      </w:pPr>
      <w:r>
        <w:rPr>
          <w:rFonts w:ascii="Times New Roman" w:hAnsi="Times New Roman"/>
          <w:color w:val="000000"/>
          <w:sz w:val="20"/>
        </w:rPr>
        <w:t>(c) Reflects the adjustment of KUBRA’s goodwill to its estimated fair value of $177,668, an increase of $15,210 over KUBRA’s carrying value of $162,458, representing the excess of the estimated purchase price over the fair value of the underlying identifiable net assets acquired.</w:t>
      </w:r>
    </w:p>
    <w:p>
      <w:pPr>
        <w:pStyle w:val="TextBody"/>
        <w:bidi w:val="0"/>
        <w:spacing w:before="0" w:after="120"/>
        <w:jc w:val="left"/>
        <w:rPr/>
      </w:pPr>
      <w:r>
        <w:rPr/>
        <w:t> </w:t>
      </w:r>
    </w:p>
    <w:tbl>
      <w:tblPr>
        <w:tblW w:w="4892" w:type="dxa"/>
        <w:jc w:val="left"/>
        <w:tblInd w:w="0" w:type="dxa"/>
        <w:tblLayout w:type="fixed"/>
        <w:tblCellMar>
          <w:top w:w="28" w:type="dxa"/>
          <w:left w:w="28" w:type="dxa"/>
          <w:bottom w:w="28" w:type="dxa"/>
          <w:right w:w="28" w:type="dxa"/>
        </w:tblCellMar>
      </w:tblPr>
      <w:tblGrid>
        <w:gridCol w:w="3961"/>
        <w:gridCol w:w="931"/>
      </w:tblGrid>
      <w:tr>
        <w:trPr/>
        <w:tc>
          <w:tcPr>
            <w:tcW w:w="39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 – carrying value</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$141,893</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 – fair value</w:t>
            </w:r>
          </w:p>
        </w:tc>
        <w:tc>
          <w:tcPr>
            <w:tcW w:w="931" w:type="dxa"/>
            <w:tcBorders>
              <w:bottom w:val="single" w:sz="4" w:space="0" w:color="000000"/>
            </w:tcBorders>
            <w:tcMar>
              <w:top w:w="0" w:type="dxa"/>
              <w:left w:w="0" w:type="dxa"/>
              <w:bottom w:w="4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237,000</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 forma adjustment to intangible assets, net</w:t>
            </w:r>
          </w:p>
        </w:tc>
        <w:tc>
          <w:tcPr>
            <w:tcW w:w="931" w:type="dxa"/>
            <w:tcBorders>
              <w:bottom w:val="double" w:sz="4" w:space="0" w:color="000000"/>
            </w:tcBorders>
            <w:tcMar>
              <w:top w:w="0" w:type="dxa"/>
              <w:left w:w="0" w:type="dxa"/>
              <w:bottom w:w="4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$95,107</w:t>
            </w:r>
          </w:p>
        </w:tc>
      </w:tr>
    </w:tbl>
    <w:p>
      <w:pPr>
        <w:pStyle w:val="TextBody"/>
        <w:bidi w:val="0"/>
        <w:spacing w:before="0" w:after="120"/>
        <w:jc w:val="left"/>
        <w:rPr/>
      </w:pPr>
      <w:r>
        <w:rPr/>
        <w:t> </w:t>
      </w:r>
    </w:p>
    <w:tbl>
      <w:tblPr>
        <w:tblW w:w="3947" w:type="dxa"/>
        <w:jc w:val="left"/>
        <w:tblInd w:w="0" w:type="dxa"/>
        <w:tblLayout w:type="fixed"/>
        <w:tblCellMar>
          <w:top w:w="28" w:type="dxa"/>
          <w:left w:w="28" w:type="dxa"/>
          <w:bottom w:w="28" w:type="dxa"/>
          <w:right w:w="28" w:type="dxa"/>
        </w:tblCellMar>
      </w:tblPr>
      <w:tblGrid>
        <w:gridCol w:w="3016"/>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carrying value</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$162,458</w:t>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fair value</w:t>
            </w:r>
          </w:p>
        </w:tc>
        <w:tc>
          <w:tcPr>
            <w:tcW w:w="931" w:type="dxa"/>
            <w:tcBorders>
              <w:bottom w:val="single" w:sz="4" w:space="0" w:color="000000"/>
            </w:tcBorders>
            <w:tcMar>
              <w:top w:w="0" w:type="dxa"/>
              <w:left w:w="0" w:type="dxa"/>
              <w:bottom w:w="4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177,668</w:t>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 forma adjustment to Goodwill</w:t>
            </w:r>
          </w:p>
        </w:tc>
        <w:tc>
          <w:tcPr>
            <w:tcW w:w="931" w:type="dxa"/>
            <w:tcBorders>
              <w:bottom w:val="double" w:sz="4" w:space="0" w:color="000000"/>
            </w:tcBorders>
            <w:tcMar>
              <w:top w:w="0" w:type="dxa"/>
              <w:left w:w="0" w:type="dxa"/>
              <w:bottom w:w="4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$15,210</w:t>
            </w:r>
          </w:p>
        </w:tc>
      </w:tr>
    </w:tbl>
    <w:p>
      <w:pPr>
        <w:pStyle w:val="TextBody"/>
        <w:bidi w:val="0"/>
        <w:spacing w:before="0" w:after="2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 Represents the adjustment of KUBRA’s operating lease right-of-use assets to their estimated fair value in connection with the KUBRA Acquisition.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(e) Represents the elimination of $12,540 of KUBRA’s intercompany note payable to Hearst, which was settled in connection with the closing of the KUBRA Acquisition and is not an obligation of the combined company.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(f) Represents the adjustment of KUBRA’s current operating lease liabilities to their estimated fair value in connection with the KUBRA Acquisition.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Represents the adjustment of KUBRA’s current finance lease liabilities in connection with the reassessment of certain of KUBRA’s leases upon the closing of the KUBRA Acquisition, in accordance with </w:t>
      </w:r>
      <w:r>
        <w:rPr>
          <w:rFonts w:ascii="Times New Roman" w:hAnsi="Times New Roman"/>
          <w:i/>
          <w:color w:val="000000"/>
          <w:sz w:val="20"/>
        </w:rPr>
        <w:t>ASC 842, Leases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(h) Represents the incremental borrowings of $360,628, net of debt issuance costs, under the Company’s new term loan facility used to fund a portion of the cash consideration paid in the KUBRA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Represents the adjustment of KUBRA’s noncurrent operating lease liabilities to their estimated fair value in connection with the KUBRA Acquisition.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(j) Represents the adjustment of KUBRA’s noncurrent finance lease liabilities in connection with the reassessment of certain of KUBRA’s leases upon the closing of the KUBRA Acquisition, in accordance with </w:t>
      </w:r>
      <w:r>
        <w:rPr>
          <w:rFonts w:ascii="Times New Roman" w:hAnsi="Times New Roman"/>
          <w:i/>
          <w:color w:val="000000"/>
          <w:sz w:val="20"/>
        </w:rPr>
        <w:t>ASC 842, Leases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(k) Reflects the adjustment of KUBRA’s historical deferred tax liability to its estimated fair value of $60,550, an increase of $28,452 over KUBRA’s carrying value of $32,098, reflecting the estimated tax effect of the book-to-tax basis differences arising from the KUBRA Acquisition.</w:t>
      </w:r>
    </w:p>
    <w:p>
      <w:pPr>
        <w:pStyle w:val="TextBody"/>
        <w:bidi w:val="0"/>
        <w:jc w:val="both"/>
        <w:rPr/>
      </w:pPr>
      <w:r>
        <w:rPr/>
        <w:t> </w:t>
      </w:r>
    </w:p>
    <w:tbl>
      <w:tblPr>
        <w:tblW w:w="4847" w:type="dxa"/>
        <w:jc w:val="left"/>
        <w:tblInd w:w="0" w:type="dxa"/>
        <w:tblLayout w:type="fixed"/>
        <w:tblCellMar>
          <w:top w:w="28" w:type="dxa"/>
          <w:left w:w="28" w:type="dxa"/>
          <w:bottom w:w="28" w:type="dxa"/>
          <w:right w:w="28" w:type="dxa"/>
        </w:tblCellMar>
      </w:tblPr>
      <w:tblGrid>
        <w:gridCol w:w="4021"/>
        <w:gridCol w:w="826"/>
      </w:tblGrid>
      <w:tr>
        <w:trPr/>
        <w:tc>
          <w:tcPr>
            <w:tcW w:w="40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8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 – carrying value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$32,098</w:t>
            </w:r>
          </w:p>
        </w:tc>
      </w:tr>
      <w:tr>
        <w:trPr/>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 – fair value</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60,549</w:t>
            </w:r>
          </w:p>
        </w:tc>
      </w:tr>
      <w:tr>
        <w:trPr/>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 forma adjustment to Deferred tax liability</w:t>
            </w:r>
          </w:p>
        </w:tc>
        <w:tc>
          <w:tcPr>
            <w:tcW w:w="8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$28,452</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(l) Represents the elimination of KUBRA’s historical stockholders’ equity, comprising common stock of $4, additional paid-in capital of $151,116, accumulated other comprehensive income of $7,520, and retained earnings of $100,755, in connection with the application of the acquisition method of accounting.</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Adjustments to the Unaudited Pro Forma Condensed Combined Statement of Operations ($ in thousands)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 Represents the pro forma adjustment to conform KUBRA’s historical revenue and cost of services to REPAY’s revenue recognition accounting policy, resulting in a decrease to both revenue and other costs of services of $4,369 and $7,776 for the three months ended March 31, 2026 and the year ended December 31, 2025, respectively, with no impact on income from operations.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 Represents the incremental amortization expense related to the new fair value of KUBRA’s intangible assets at the closing of the KUBRA Acquisition, as follows: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For the three months ended March 31, 2026</w:t>
      </w:r>
    </w:p>
    <w:tbl>
      <w:tblPr>
        <w:tblW w:w="10205" w:type="dxa"/>
        <w:jc w:val="left"/>
        <w:tblInd w:w="0" w:type="dxa"/>
        <w:tblLayout w:type="fixed"/>
        <w:tblCellMar>
          <w:top w:w="28" w:type="dxa"/>
          <w:left w:w="28" w:type="dxa"/>
          <w:bottom w:w="28" w:type="dxa"/>
          <w:right w:w="28" w:type="dxa"/>
        </w:tblCellMar>
      </w:tblPr>
      <w:tblGrid>
        <w:gridCol w:w="4792"/>
        <w:gridCol w:w="1797"/>
        <w:gridCol w:w="146"/>
        <w:gridCol w:w="2034"/>
        <w:gridCol w:w="146"/>
        <w:gridCol w:w="1290"/>
      </w:tblGrid>
      <w:tr>
        <w:trPr/>
        <w:tc>
          <w:tcPr>
            <w:tcW w:w="479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4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Client Relationships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Developed Technology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Trade Names</w:t>
            </w:r>
          </w:p>
        </w:tc>
      </w:tr>
      <w:tr>
        <w:trPr/>
        <w:tc>
          <w:tcPr>
            <w:tcW w:w="4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the closing of the Acquisition</w:t>
            </w:r>
          </w:p>
        </w:tc>
        <w:tc>
          <w:tcPr>
            <w:tcW w:w="1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3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r>
      <w:tr>
        <w:trPr/>
        <w:tc>
          <w:tcPr>
            <w:tcW w:w="4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Useful life (years)</w:t>
            </w:r>
          </w:p>
        </w:tc>
        <w:tc>
          <w:tcPr>
            <w:tcW w:w="1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3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r>
      <w:tr>
        <w:trPr/>
        <w:tc>
          <w:tcPr>
            <w:tcW w:w="4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 through March 31, 2026</w:t>
            </w:r>
          </w:p>
        </w:tc>
        <w:tc>
          <w:tcPr>
            <w:tcW w:w="1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3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KUBRA historical amortization expense</w:t>
            </w:r>
          </w:p>
        </w:tc>
        <w:tc>
          <w:tcPr>
            <w:tcW w:w="1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3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r>
      <w:tr>
        <w:trPr/>
        <w:tc>
          <w:tcPr>
            <w:tcW w:w="4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 forma adjustment to depreciation and amortization</w:t>
            </w:r>
          </w:p>
        </w:tc>
        <w:tc>
          <w:tcPr>
            <w:tcW w:w="1797"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2034"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90"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$(325)</w:t>
            </w:r>
          </w:p>
        </w:tc>
      </w:tr>
    </w:tbl>
    <w:p>
      <w:pPr>
        <w:pStyle w:val="TextBody"/>
        <w:bidi w:val="0"/>
        <w:spacing w:before="200" w:after="120"/>
        <w:jc w:val="left"/>
        <w:rPr>
          <w:rFonts w:ascii="Times New Roman" w:hAnsi="Times New Roman"/>
          <w:b/>
          <w:color w:val="000000"/>
          <w:sz w:val="20"/>
        </w:rPr>
      </w:pPr>
      <w:r>
        <w:rPr>
          <w:rFonts w:ascii="Times New Roman" w:hAnsi="Times New Roman"/>
          <w:b/>
          <w:color w:val="000000"/>
          <w:sz w:val="20"/>
        </w:rPr>
        <w:t>For the year ended December 31, 2025</w:t>
      </w:r>
    </w:p>
    <w:tbl>
      <w:tblPr>
        <w:tblW w:w="10205" w:type="dxa"/>
        <w:jc w:val="left"/>
        <w:tblInd w:w="0" w:type="dxa"/>
        <w:tblLayout w:type="fixed"/>
        <w:tblCellMar>
          <w:top w:w="28" w:type="dxa"/>
          <w:left w:w="28" w:type="dxa"/>
          <w:bottom w:w="28" w:type="dxa"/>
          <w:right w:w="28" w:type="dxa"/>
        </w:tblCellMar>
      </w:tblPr>
      <w:tblGrid>
        <w:gridCol w:w="4792"/>
        <w:gridCol w:w="1797"/>
        <w:gridCol w:w="146"/>
        <w:gridCol w:w="2034"/>
        <w:gridCol w:w="146"/>
        <w:gridCol w:w="1290"/>
      </w:tblGrid>
      <w:tr>
        <w:trPr/>
        <w:tc>
          <w:tcPr>
            <w:tcW w:w="479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4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Client Relationships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Developed Technology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Trade Names</w:t>
            </w:r>
          </w:p>
        </w:tc>
      </w:tr>
      <w:tr>
        <w:trPr/>
        <w:tc>
          <w:tcPr>
            <w:tcW w:w="4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the closing of the Acquisition</w:t>
            </w:r>
          </w:p>
        </w:tc>
        <w:tc>
          <w:tcPr>
            <w:tcW w:w="1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3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r>
      <w:tr>
        <w:trPr/>
        <w:tc>
          <w:tcPr>
            <w:tcW w:w="4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Useful life (years)</w:t>
            </w:r>
          </w:p>
        </w:tc>
        <w:tc>
          <w:tcPr>
            <w:tcW w:w="1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3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r>
      <w:tr>
        <w:trPr/>
        <w:tc>
          <w:tcPr>
            <w:tcW w:w="4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 through December 31, 2025</w:t>
            </w:r>
          </w:p>
        </w:tc>
        <w:tc>
          <w:tcPr>
            <w:tcW w:w="1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3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KUBRA historical amortization expense</w:t>
            </w:r>
          </w:p>
        </w:tc>
        <w:tc>
          <w:tcPr>
            <w:tcW w:w="1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3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r>
      <w:tr>
        <w:trPr/>
        <w:tc>
          <w:tcPr>
            <w:tcW w:w="4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 forma adjustment to depreciation and amortization</w:t>
            </w:r>
          </w:p>
        </w:tc>
        <w:tc>
          <w:tcPr>
            <w:tcW w:w="1797"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$9,577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2034"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90"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w:t>
            </w:r>
          </w:p>
        </w:tc>
      </w:tr>
    </w:tbl>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 Represents the pro forma adjustment to interest expense, reflecting the incurrence of $13,559 and $54,085 of interest expense on the Company’s new term loan facility for the three months ended March 31, 2026 and the year ended December 31, 2025, respectively, net of the reversal of $1,910 and $0 of REPAY’s historical interest expense on its existing credit facility and $125 and $911 of KUBRA’s historical interest expense on its intercompany note payable to Hearst, in each case for the same respective periods.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 Represents the income tax effect of the pro forma adjustments, calculated using the estimated statutory tax rate applicable to the combined company.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(q) Represents the pro forma adjustment to net (loss) income attributable to non-controlling interests, calculated based on the non-controlling interests’ ownership percentage applied to the pro forma adjustments.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16015</Words>
  <Characters>95617</Characters>
  <CharactersWithSpaces>110759</CharactersWithSpaces>
  <Paragraphs>3141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